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rPr>
          <w:rFonts w:hAnsi="黑体" w:cs="黑体"/>
          <w:highlight w:val="none"/>
        </w:rPr>
      </w:pPr>
      <w:bookmarkStart w:id="0" w:name="StandardName"/>
      <w:r>
        <w:rPr>
          <w:rFonts w:hint="eastAsia" w:hAnsi="黑体" w:cs="黑体"/>
          <w:highlight w:val="none"/>
        </w:rPr>
        <w:t>ICS 03.080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CCS </w:t>
            </w:r>
            <w:r>
              <w:rPr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152400</wp:posOffset>
                      </wp:positionV>
                      <wp:extent cx="866775" cy="198120"/>
                      <wp:effectExtent l="0" t="0" r="1905" b="0"/>
                      <wp:wrapNone/>
                      <wp:docPr id="7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6.75pt;margin-top:12pt;height:15.6pt;width:68.25pt;z-index:-251653120;mso-width-relative:page;mso-height-relative:page;" fillcolor="#FFFFFF" filled="t" stroked="f" coordsize="21600,21600" o:gfxdata="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AiS01zVAAAACAEAAA8AAAAAAAAAAQAgAAAAIgAAAGRycy9kb3ducmV2LnhtbFBLAQIUABQAAAAI&#10;AIdO4kA5844otwEAAGkDAAAOAAAAAAAAAAEAIAAAACQBAABkcnMvZTJvRG9jLnhtbFBLBQYAAAAA&#10;BgAGAFkBAABN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highlight w:val="none"/>
              </w:rPr>
              <w:t>A 16</w:t>
            </w:r>
            <w:r>
              <w:rPr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1905" b="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5.25pt;margin-top:0pt;height:15.6pt;width:68.25pt;z-index:-251654144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iuL+zVAAAABwEAAA8AAAAAAAAAAQAgAAAAIgAAAGRycy9kb3ducmV2LnhtbFBLAQIUABQAAAAI&#10;AIdO4kDP6bJptwEAAGkDAAAOAAAAAAAAAAEAIAAAACQBAABkcnMvZTJvRG9jLnhtbFBLBQYAAAAA&#10;BgAGAFkBAABN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pStyle w:val="15"/>
        <w:rPr>
          <w:highlight w:val="none"/>
        </w:rPr>
      </w:pPr>
      <w:r>
        <w:rPr>
          <w:highlight w:val="none"/>
        </w:rPr>
        <w:t>DB</w:t>
      </w:r>
      <w:r>
        <w:rPr>
          <w:rFonts w:hint="eastAsia"/>
          <w:highlight w:val="none"/>
        </w:rPr>
        <w:t>21</w:t>
      </w:r>
    </w:p>
    <w:p>
      <w:pPr>
        <w:pStyle w:val="17"/>
        <w:rPr>
          <w:highlight w:val="none"/>
        </w:rPr>
      </w:pPr>
      <w:r>
        <w:rPr>
          <w:rFonts w:hint="eastAsia"/>
          <w:highlight w:val="none"/>
        </w:rPr>
        <w:t>辽宁省地方标准</w:t>
      </w:r>
    </w:p>
    <w:p>
      <w:pPr>
        <w:pStyle w:val="18"/>
        <w:rPr>
          <w:rFonts w:hAnsi="黑体" w:cs="黑体"/>
          <w:highlight w:val="none"/>
        </w:rPr>
      </w:pPr>
      <w:r>
        <w:rPr>
          <w:rFonts w:hint="eastAsia" w:hAnsi="黑体" w:cs="黑体"/>
          <w:highlight w:val="none"/>
        </w:rPr>
        <w:t>DB21/T XXXX—XXXX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9"/>
              <w:rPr>
                <w:highlight w:val="none"/>
              </w:rPr>
            </w:pPr>
          </w:p>
        </w:tc>
      </w:tr>
    </w:tbl>
    <w:p>
      <w:pPr>
        <w:pStyle w:val="18"/>
        <w:rPr>
          <w:highlight w:val="none"/>
        </w:rPr>
      </w:pPr>
    </w:p>
    <w:p>
      <w:pPr>
        <w:pStyle w:val="18"/>
        <w:rPr>
          <w:highlight w:val="none"/>
        </w:rPr>
      </w:pPr>
    </w:p>
    <w:p>
      <w:pPr>
        <w:pStyle w:val="20"/>
        <w:framePr w:x="1390" w:y="6437"/>
        <w:rPr>
          <w:szCs w:val="22"/>
          <w:highlight w:val="none"/>
        </w:rPr>
      </w:pPr>
      <w:r>
        <w:rPr>
          <w:rFonts w:hint="eastAsia"/>
          <w:szCs w:val="22"/>
          <w:highlight w:val="none"/>
        </w:rPr>
        <w:t>ETC</w:t>
      </w:r>
      <w:r>
        <w:rPr>
          <w:rFonts w:hint="eastAsia"/>
          <w:szCs w:val="22"/>
          <w:highlight w:val="none"/>
          <w:lang w:val="en-US" w:eastAsia="zh-CN"/>
        </w:rPr>
        <w:t>智慧</w:t>
      </w:r>
      <w:r>
        <w:rPr>
          <w:rFonts w:hint="eastAsia"/>
          <w:szCs w:val="22"/>
          <w:highlight w:val="none"/>
        </w:rPr>
        <w:t xml:space="preserve">停车场 </w:t>
      </w:r>
      <w:r>
        <w:rPr>
          <w:rFonts w:hint="eastAsia"/>
          <w:szCs w:val="22"/>
          <w:highlight w:val="none"/>
          <w:lang w:val="en-US" w:eastAsia="zh-CN"/>
        </w:rPr>
        <w:t xml:space="preserve"> </w:t>
      </w:r>
      <w:r>
        <w:rPr>
          <w:rFonts w:hint="eastAsia"/>
          <w:szCs w:val="22"/>
          <w:highlight w:val="none"/>
        </w:rPr>
        <w:t>视觉识别要求</w:t>
      </w:r>
    </w:p>
    <w:p>
      <w:pPr>
        <w:pStyle w:val="21"/>
        <w:framePr w:x="1390" w:y="6437"/>
        <w:rPr>
          <w:highlight w:val="none"/>
        </w:rPr>
      </w:pPr>
    </w:p>
    <w:p>
      <w:pPr>
        <w:pStyle w:val="22"/>
        <w:framePr w:x="1390" w:y="6437"/>
        <w:rPr>
          <w:highlight w:val="none"/>
        </w:rPr>
      </w:pPr>
      <w:r>
        <w:rPr>
          <w:rFonts w:hint="eastAsia"/>
          <w:highlight w:val="none"/>
        </w:rPr>
        <w:t>（</w:t>
      </w:r>
      <w:r>
        <w:rPr>
          <w:rFonts w:hint="eastAsia"/>
          <w:highlight w:val="none"/>
          <w:lang w:val="en-US" w:eastAsia="zh-CN"/>
        </w:rPr>
        <w:t>征求意见稿</w:t>
      </w:r>
      <w:r>
        <w:rPr>
          <w:rFonts w:hint="eastAsia"/>
          <w:highlight w:val="none"/>
        </w:rPr>
        <w:t>）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3"/>
              <w:framePr w:x="1390" w:y="6437"/>
              <w:rPr>
                <w:highlight w:val="none"/>
              </w:rPr>
            </w:pPr>
            <w:r>
              <w:rPr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0" b="5080"/>
                      <wp:wrapNone/>
                      <wp:docPr id="9" name="矩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73.3pt;margin-top:337.15pt;height:20pt;width:150pt;z-index:-251655168;mso-width-relative:page;mso-height-relative:page;" fillcolor="#FFFFFF" filled="t" stroked="f" coordsize="21600,21600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f&#10;1/fg1wAAAAsBAAAPAAAAAAAAAAEAIAAAACIAAABkcnMvZG93bnJldi54bWxQSwECFAAUAAAACACH&#10;TuJAgETJ2bMBAABqAwAADgAAAAAAAAABACAAAAAmAQAAZHJzL2Uyb0RvYy54bWxQSwUGAAAAAAYA&#10;BgBZAQAASw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4"/>
              <w:framePr w:x="1390" w:y="6437"/>
              <w:rPr>
                <w:highlight w:val="none"/>
              </w:rPr>
            </w:pPr>
          </w:p>
        </w:tc>
      </w:tr>
    </w:tbl>
    <w:p>
      <w:pPr>
        <w:pStyle w:val="25"/>
        <w:framePr w:hAnchor="page" w:x="1549" w:y="14053"/>
        <w:rPr>
          <w:highlight w:val="none"/>
        </w:rPr>
      </w:pPr>
      <w:r>
        <w:rPr>
          <w:rFonts w:ascii="黑体"/>
          <w:highlight w:val="none"/>
        </w:rPr>
        <w:t>XXXX</w:t>
      </w:r>
      <w:r>
        <w:rPr>
          <w:highlight w:val="none"/>
        </w:rPr>
        <w:t xml:space="preserve"> </w:t>
      </w:r>
      <w:r>
        <w:rPr>
          <w:rFonts w:ascii="黑体"/>
          <w:highlight w:val="none"/>
        </w:rPr>
        <w:t>-</w:t>
      </w:r>
      <w:r>
        <w:rPr>
          <w:highlight w:val="none"/>
        </w:rPr>
        <w:t xml:space="preserve"> </w:t>
      </w:r>
      <w:r>
        <w:rPr>
          <w:rFonts w:ascii="黑体"/>
          <w:highlight w:val="none"/>
        </w:rPr>
        <w:t>XX</w:t>
      </w:r>
      <w:r>
        <w:rPr>
          <w:highlight w:val="none"/>
        </w:rPr>
        <w:t xml:space="preserve"> </w:t>
      </w:r>
      <w:r>
        <w:rPr>
          <w:rFonts w:ascii="黑体"/>
          <w:highlight w:val="none"/>
        </w:rPr>
        <w:t>-</w:t>
      </w:r>
      <w:r>
        <w:rPr>
          <w:highlight w:val="none"/>
        </w:rPr>
        <w:t xml:space="preserve"> </w:t>
      </w:r>
      <w:r>
        <w:rPr>
          <w:rFonts w:ascii="黑体"/>
          <w:highlight w:val="none"/>
        </w:rPr>
        <w:t>XX</w:t>
      </w:r>
      <w:r>
        <w:rPr>
          <w:rFonts w:hint="eastAsia"/>
          <w:highlight w:val="none"/>
        </w:rPr>
        <w:t>发布</w: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column">
                  <wp:posOffset>3810</wp:posOffset>
                </wp:positionH>
                <wp:positionV relativeFrom="page">
                  <wp:posOffset>-3421380</wp:posOffset>
                </wp:positionV>
                <wp:extent cx="6120130" cy="0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3pt;margin-top:-269.4pt;height:0pt;width:481.9pt;mso-position-vertical-relative:page;z-index:251664384;mso-width-relative:page;mso-height-relative:page;" filled="f" stroked="t" coordsize="21600,21600" o:gfxdata="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XN&#10;SeHWAAAACgEAAA8AAAAAAAAAAQAgAAAAIgAAAGRycy9kb3ducmV2LnhtbFBLAQIUABQAAAAIAIdO&#10;4kBDcSyU7AEAANo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27"/>
        <w:framePr w:hAnchor="page" w:x="7006" w:y="13981"/>
        <w:rPr>
          <w:highlight w:val="none"/>
        </w:rPr>
      </w:pPr>
      <w:r>
        <w:rPr>
          <w:rFonts w:ascii="黑体"/>
          <w:highlight w:val="none"/>
        </w:rPr>
        <w:t>XXXX</w:t>
      </w:r>
      <w:r>
        <w:rPr>
          <w:highlight w:val="none"/>
        </w:rPr>
        <w:t xml:space="preserve"> </w:t>
      </w:r>
      <w:r>
        <w:rPr>
          <w:rFonts w:ascii="黑体"/>
          <w:highlight w:val="none"/>
        </w:rPr>
        <w:t>-</w:t>
      </w:r>
      <w:r>
        <w:rPr>
          <w:highlight w:val="none"/>
        </w:rPr>
        <w:t xml:space="preserve"> </w:t>
      </w:r>
      <w:r>
        <w:rPr>
          <w:rFonts w:ascii="黑体"/>
          <w:highlight w:val="none"/>
        </w:rPr>
        <w:t>XX</w:t>
      </w:r>
      <w:r>
        <w:rPr>
          <w:highlight w:val="none"/>
        </w:rPr>
        <w:t xml:space="preserve"> </w:t>
      </w:r>
      <w:r>
        <w:rPr>
          <w:rFonts w:ascii="黑体"/>
          <w:highlight w:val="none"/>
        </w:rPr>
        <w:t>-</w:t>
      </w:r>
      <w:r>
        <w:rPr>
          <w:highlight w:val="none"/>
        </w:rPr>
        <w:t xml:space="preserve"> </w:t>
      </w:r>
      <w:r>
        <w:rPr>
          <w:rFonts w:ascii="黑体"/>
          <w:highlight w:val="none"/>
        </w:rPr>
        <w:t>XX</w:t>
      </w:r>
      <w:r>
        <w:rPr>
          <w:rFonts w:hint="eastAsia"/>
          <w:highlight w:val="none"/>
        </w:rPr>
        <w:t>实施</w:t>
      </w:r>
    </w:p>
    <w:p>
      <w:pPr>
        <w:pStyle w:val="29"/>
        <w:rPr>
          <w:rFonts w:hAnsi="黑体" w:cs="黑体"/>
          <w:highlight w:val="none"/>
        </w:rPr>
      </w:pPr>
      <w:bookmarkStart w:id="1" w:name="fm"/>
      <w:r>
        <w:rPr>
          <w:rFonts w:hint="eastAsia" w:hAnsi="黑体" w:cs="黑体"/>
          <w:w w:val="100"/>
          <w:highlight w:val="non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10160" b="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2.55pt;margin-top:-310.45pt;height:24pt;width:100pt;z-index:-251656192;mso-width-relative:page;mso-height-relative:page;" fillcolor="#FFFFFF" filled="t" stroked="f" coordsize="21600,2160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5te7W2QAAAA0BAAAPAAAAAAAAAAEAIAAAACIAAABkcnMvZG93bnJldi54bWxQSwECFAAUAAAA&#10;CACHTuJA71WldbQBAABqAwAADgAAAAAAAAABACAAAAAoAQAAZHJzL2Uyb0RvYy54bWxQSwUGAAAA&#10;AAYABgBZAQAAT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hint="eastAsia" w:hAnsi="黑体" w:cs="黑体"/>
          <w:w w:val="100"/>
          <w:highlight w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7.55pt;margin-top:-585.45pt;height:18pt;width:90pt;z-index:-251657216;mso-width-relative:page;mso-height-relative:page;" fillcolor="#FFFFFF" filled="t" stroked="f" coordsize="21600,21600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38mKEdoAAAAPAQAADwAAAAAAAAABACAAAAAiAAAAZHJzL2Rvd25yZXYueG1sUEsBAhQAFAAA&#10;AAgAh07iQJe7xUa0AQAAagMAAA4AAAAAAAAAAQAgAAAAKQEAAGRycy9lMm9Eb2MueG1sUEsFBgAA&#10;AAAGAAYAWQEAAE8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bookmarkEnd w:id="1"/>
      <w:r>
        <w:rPr>
          <w:rFonts w:hint="eastAsia" w:hAnsi="黑体" w:cs="黑体"/>
          <w:w w:val="100"/>
          <w:highlight w:val="none"/>
        </w:rPr>
        <w:t>辽宁省</w:t>
      </w:r>
      <w:r>
        <w:rPr>
          <w:rFonts w:hint="eastAsia" w:hAnsi="黑体" w:cs="黑体"/>
          <w:w w:val="100"/>
          <w:szCs w:val="22"/>
          <w:highlight w:val="none"/>
        </w:rPr>
        <w:t>市场监督管理局</w:t>
      </w:r>
      <w:r>
        <w:rPr>
          <w:rFonts w:hint="eastAsia" w:hAnsi="黑体" w:cs="黑体"/>
          <w:w w:val="100"/>
          <w:szCs w:val="22"/>
          <w:highlight w:val="none"/>
          <w:lang w:eastAsia="zh-CN"/>
        </w:rPr>
        <w:t>　</w:t>
      </w:r>
      <w:r>
        <w:rPr>
          <w:rFonts w:hint="eastAsia" w:hAnsi="黑体" w:cs="黑体"/>
          <w:w w:val="100"/>
          <w:szCs w:val="22"/>
          <w:highlight w:val="none"/>
        </w:rPr>
        <w:t xml:space="preserve"> 发 布</w:t>
      </w:r>
    </w:p>
    <w:p>
      <w:pPr>
        <w:pStyle w:val="31"/>
        <w:rPr>
          <w:highlight w:val="none"/>
        </w:rPr>
        <w:sectPr>
          <w:headerReference r:id="rId3" w:type="even"/>
          <w:footerReference r:id="rId4" w:type="even"/>
          <w:pgSz w:w="11906" w:h="16838"/>
          <w:pgMar w:top="567" w:right="1134" w:bottom="1134" w:left="1417" w:header="0" w:footer="0" w:gutter="0"/>
          <w:pgNumType w:fmt="upperRoman" w:start="1"/>
          <w:cols w:space="720" w:num="1"/>
          <w:docGrid w:type="lines" w:linePitch="312" w:charSpace="0"/>
        </w:sectPr>
      </w:pPr>
      <w:r>
        <w:rPr>
          <w:rFonts w:hint="eastAsia" w:ascii="黑体" w:hAnsi="黑体" w:eastAsia="黑体" w:cs="黑体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2333625</wp:posOffset>
                </wp:positionV>
                <wp:extent cx="6062345" cy="6350"/>
                <wp:effectExtent l="0" t="4445" r="3175" b="1206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62345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0.05pt;margin-top:183.75pt;height:0.5pt;width:477.35pt;z-index:251665408;mso-width-relative:page;mso-height-relative:page;" filled="f" stroked="t" coordsize="21600,21600" o:gfxdata="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+iNvldgAAAAJAQAADwAAAAAAAAABACAAAAAiAAAAZHJzL2Rvd25yZXYueG1s&#10;UEsBAhQAFAAAAAgAh07iQJ3Acu/4AQAA5wMAAA4AAAAAAAAAAQAgAAAAJw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8851900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75pt;margin-top:697pt;height:0pt;width:481.9pt;z-index:251666432;mso-width-relative:page;mso-height-relative:page;" filled="f" stroked="t" coordsize="21600,21600" o:gfxdata="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zmbK&#10;ldYAAAALAQAADwAAAAAAAAABACAAAAAiAAAAZHJzL2Rvd25yZXYueG1sUEsBAhQAFAAAAAgAh07i&#10;QCXWq8PrAQAA2A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目</w:t>
      </w: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　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 xml:space="preserve"> 次</w:t>
      </w:r>
    </w:p>
    <w:p>
      <w:pPr>
        <w:pStyle w:val="8"/>
        <w:tabs>
          <w:tab w:val="right" w:leader="dot" w:pos="9355"/>
          <w:tab w:val="clear" w:pos="9242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TOC \o "1-3" \h \u </w:instrText>
      </w:r>
      <w:r>
        <w:rPr>
          <w:rFonts w:hint="eastAsia"/>
          <w:highlight w:val="none"/>
        </w:rPr>
        <w:fldChar w:fldCharType="separate"/>
      </w: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_Toc10071 </w:instrText>
      </w:r>
      <w:r>
        <w:rPr>
          <w:rFonts w:hint="eastAsia"/>
          <w:highlight w:val="none"/>
        </w:rPr>
        <w:fldChar w:fldCharType="separate"/>
      </w:r>
      <w:r>
        <w:rPr>
          <w:rFonts w:hint="eastAsia"/>
          <w:highlight w:val="none"/>
        </w:rPr>
        <w:t>前言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_Toc10071 \h </w:instrText>
      </w:r>
      <w:r>
        <w:rPr>
          <w:highlight w:val="none"/>
        </w:rPr>
        <w:fldChar w:fldCharType="separate"/>
      </w:r>
      <w:r>
        <w:rPr>
          <w:highlight w:val="none"/>
        </w:rPr>
        <w:t>II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9"/>
        <w:tabs>
          <w:tab w:val="right" w:leader="dot" w:pos="9355"/>
          <w:tab w:val="clear" w:pos="9242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_Toc5422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/>
          <w:i w:val="0"/>
          <w:szCs w:val="21"/>
          <w:highlight w:val="none"/>
        </w:rPr>
        <w:t>1</w:t>
      </w:r>
      <w:r>
        <w:rPr>
          <w:rFonts w:hint="eastAsia" w:ascii="黑体" w:eastAsia="黑体"/>
          <w:i w:val="0"/>
          <w:szCs w:val="21"/>
          <w:highlight w:val="none"/>
          <w:lang w:eastAsia="zh-CN"/>
        </w:rPr>
        <w:t>　</w:t>
      </w:r>
      <w:r>
        <w:rPr>
          <w:rFonts w:hint="eastAsia"/>
          <w:highlight w:val="none"/>
        </w:rPr>
        <w:t>范围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_Toc5422 \h </w:instrText>
      </w:r>
      <w:r>
        <w:rPr>
          <w:highlight w:val="none"/>
        </w:rPr>
        <w:fldChar w:fldCharType="separate"/>
      </w:r>
      <w:r>
        <w:rPr>
          <w:highlight w:val="none"/>
        </w:rPr>
        <w:t>1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9"/>
        <w:tabs>
          <w:tab w:val="right" w:leader="dot" w:pos="9355"/>
          <w:tab w:val="clear" w:pos="9242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_Toc30867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/>
          <w:i w:val="0"/>
          <w:szCs w:val="21"/>
          <w:highlight w:val="none"/>
        </w:rPr>
        <w:t>2</w:t>
      </w:r>
      <w:r>
        <w:rPr>
          <w:rFonts w:hint="eastAsia" w:ascii="黑体" w:eastAsia="黑体"/>
          <w:i w:val="0"/>
          <w:szCs w:val="21"/>
          <w:highlight w:val="none"/>
          <w:lang w:eastAsia="zh-CN"/>
        </w:rPr>
        <w:t>　</w:t>
      </w:r>
      <w:r>
        <w:rPr>
          <w:rFonts w:hint="eastAsia"/>
          <w:highlight w:val="none"/>
        </w:rPr>
        <w:t>规范性引用文件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_Toc30867 \h </w:instrText>
      </w:r>
      <w:r>
        <w:rPr>
          <w:highlight w:val="none"/>
        </w:rPr>
        <w:fldChar w:fldCharType="separate"/>
      </w:r>
      <w:r>
        <w:rPr>
          <w:highlight w:val="none"/>
        </w:rPr>
        <w:t>1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9"/>
        <w:tabs>
          <w:tab w:val="right" w:leader="dot" w:pos="9355"/>
          <w:tab w:val="clear" w:pos="9242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_Toc1816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/>
          <w:i w:val="0"/>
          <w:szCs w:val="21"/>
          <w:highlight w:val="none"/>
        </w:rPr>
        <w:t>3</w:t>
      </w:r>
      <w:r>
        <w:rPr>
          <w:rFonts w:hint="eastAsia" w:ascii="黑体" w:eastAsia="黑体"/>
          <w:i w:val="0"/>
          <w:szCs w:val="21"/>
          <w:highlight w:val="none"/>
          <w:lang w:eastAsia="zh-CN"/>
        </w:rPr>
        <w:t>　</w:t>
      </w:r>
      <w:r>
        <w:rPr>
          <w:rFonts w:hint="eastAsia"/>
          <w:highlight w:val="none"/>
        </w:rPr>
        <w:t>术语和定义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_Toc1816 \h </w:instrText>
      </w:r>
      <w:r>
        <w:rPr>
          <w:highlight w:val="none"/>
        </w:rPr>
        <w:fldChar w:fldCharType="separate"/>
      </w:r>
      <w:r>
        <w:rPr>
          <w:highlight w:val="none"/>
        </w:rPr>
        <w:t>1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9"/>
        <w:tabs>
          <w:tab w:val="right" w:leader="dot" w:pos="9355"/>
          <w:tab w:val="clear" w:pos="9242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_Toc17921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/>
          <w:i w:val="0"/>
          <w:szCs w:val="21"/>
          <w:highlight w:val="none"/>
        </w:rPr>
        <w:t>4</w:t>
      </w:r>
      <w:r>
        <w:rPr>
          <w:rFonts w:hint="eastAsia" w:ascii="黑体" w:eastAsia="黑体"/>
          <w:i w:val="0"/>
          <w:szCs w:val="21"/>
          <w:highlight w:val="none"/>
          <w:lang w:eastAsia="zh-CN"/>
        </w:rPr>
        <w:t>　</w:t>
      </w:r>
      <w:r>
        <w:rPr>
          <w:rFonts w:hint="eastAsia"/>
          <w:highlight w:val="none"/>
          <w:lang w:val="en-US" w:eastAsia="zh-CN"/>
        </w:rPr>
        <w:t>缩略语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_Toc17921 \h </w:instrText>
      </w:r>
      <w:r>
        <w:rPr>
          <w:highlight w:val="none"/>
        </w:rPr>
        <w:fldChar w:fldCharType="separate"/>
      </w:r>
      <w:r>
        <w:rPr>
          <w:highlight w:val="none"/>
        </w:rPr>
        <w:t>2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9"/>
        <w:tabs>
          <w:tab w:val="right" w:leader="dot" w:pos="9355"/>
          <w:tab w:val="clear" w:pos="9242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_Toc16875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/>
          <w:i w:val="0"/>
          <w:szCs w:val="21"/>
          <w:highlight w:val="none"/>
        </w:rPr>
        <w:t>5</w:t>
      </w:r>
      <w:r>
        <w:rPr>
          <w:rFonts w:hint="eastAsia" w:ascii="黑体" w:eastAsia="黑体"/>
          <w:i w:val="0"/>
          <w:szCs w:val="21"/>
          <w:highlight w:val="none"/>
          <w:lang w:eastAsia="zh-CN"/>
        </w:rPr>
        <w:t>　</w:t>
      </w:r>
      <w:r>
        <w:rPr>
          <w:rFonts w:hint="eastAsia"/>
          <w:highlight w:val="none"/>
        </w:rPr>
        <w:t>ETC VI 总原则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_Toc16875 \h </w:instrText>
      </w:r>
      <w:r>
        <w:rPr>
          <w:highlight w:val="none"/>
        </w:rPr>
        <w:fldChar w:fldCharType="separate"/>
      </w:r>
      <w:r>
        <w:rPr>
          <w:highlight w:val="none"/>
        </w:rPr>
        <w:t>2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9"/>
        <w:tabs>
          <w:tab w:val="right" w:leader="dot" w:pos="9355"/>
          <w:tab w:val="clear" w:pos="9242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_Toc18459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/>
          <w:i w:val="0"/>
          <w:szCs w:val="21"/>
          <w:highlight w:val="none"/>
        </w:rPr>
        <w:t>6</w:t>
      </w:r>
      <w:r>
        <w:rPr>
          <w:rFonts w:hint="eastAsia" w:ascii="黑体" w:eastAsia="黑体"/>
          <w:i w:val="0"/>
          <w:szCs w:val="21"/>
          <w:highlight w:val="none"/>
          <w:lang w:eastAsia="zh-CN"/>
        </w:rPr>
        <w:t>　</w:t>
      </w:r>
      <w:r>
        <w:rPr>
          <w:rFonts w:hint="eastAsia"/>
          <w:highlight w:val="none"/>
        </w:rPr>
        <w:t>ETC VI 基础元素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_Toc18459 \h </w:instrText>
      </w:r>
      <w:r>
        <w:rPr>
          <w:highlight w:val="none"/>
        </w:rPr>
        <w:fldChar w:fldCharType="separate"/>
      </w:r>
      <w:r>
        <w:rPr>
          <w:highlight w:val="none"/>
        </w:rPr>
        <w:t>2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5"/>
        <w:tabs>
          <w:tab w:val="right" w:leader="dot" w:pos="9355"/>
          <w:tab w:val="clear" w:pos="9241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_Toc1910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</w:rPr>
        <w:t>6.1</w:t>
      </w:r>
      <w:r>
        <w:rPr>
          <w:rFonts w:hint="eastAsia" w:ascii="黑体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  <w:lang w:eastAsia="zh-CN"/>
        </w:rPr>
        <w:t>　</w:t>
      </w:r>
      <w:r>
        <w:rPr>
          <w:rFonts w:hint="eastAsia"/>
          <w:szCs w:val="24"/>
          <w:highlight w:val="none"/>
        </w:rPr>
        <w:t>标志内容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_Toc1910 \h </w:instrText>
      </w:r>
      <w:r>
        <w:rPr>
          <w:highlight w:val="none"/>
        </w:rPr>
        <w:fldChar w:fldCharType="separate"/>
      </w:r>
      <w:r>
        <w:rPr>
          <w:highlight w:val="none"/>
        </w:rPr>
        <w:t>2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5"/>
        <w:tabs>
          <w:tab w:val="right" w:leader="dot" w:pos="9355"/>
          <w:tab w:val="clear" w:pos="9241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_Toc21650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</w:rPr>
        <w:t>6.2</w:t>
      </w:r>
      <w:r>
        <w:rPr>
          <w:rFonts w:hint="eastAsia" w:ascii="黑体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  <w:lang w:eastAsia="zh-CN"/>
        </w:rPr>
        <w:t>　</w:t>
      </w:r>
      <w:r>
        <w:rPr>
          <w:rFonts w:hint="eastAsia"/>
          <w:szCs w:val="24"/>
          <w:highlight w:val="none"/>
        </w:rPr>
        <w:t>标志方格坐标制作图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_Toc21650 \h </w:instrText>
      </w:r>
      <w:r>
        <w:rPr>
          <w:highlight w:val="none"/>
        </w:rPr>
        <w:fldChar w:fldCharType="separate"/>
      </w:r>
      <w:r>
        <w:rPr>
          <w:highlight w:val="none"/>
        </w:rPr>
        <w:t>3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5"/>
        <w:tabs>
          <w:tab w:val="right" w:leader="dot" w:pos="9355"/>
          <w:tab w:val="clear" w:pos="9241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_Toc2276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</w:rPr>
        <w:t>6.3</w:t>
      </w:r>
      <w:r>
        <w:rPr>
          <w:rFonts w:hint="eastAsia" w:ascii="黑体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  <w:lang w:eastAsia="zh-CN"/>
        </w:rPr>
        <w:t>　</w:t>
      </w:r>
      <w:r>
        <w:rPr>
          <w:szCs w:val="24"/>
          <w:highlight w:val="none"/>
        </w:rPr>
        <w:t>标志</w:t>
      </w:r>
      <w:r>
        <w:rPr>
          <w:rFonts w:hint="eastAsia"/>
          <w:szCs w:val="24"/>
          <w:highlight w:val="none"/>
          <w:lang w:val="en-US" w:eastAsia="zh-CN"/>
        </w:rPr>
        <w:t>全称</w:t>
      </w:r>
      <w:r>
        <w:rPr>
          <w:szCs w:val="24"/>
          <w:highlight w:val="none"/>
        </w:rPr>
        <w:t>方格坐标制图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_Toc2276 \h </w:instrText>
      </w:r>
      <w:r>
        <w:rPr>
          <w:highlight w:val="none"/>
        </w:rPr>
        <w:fldChar w:fldCharType="separate"/>
      </w:r>
      <w:r>
        <w:rPr>
          <w:highlight w:val="none"/>
        </w:rPr>
        <w:t>3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5"/>
        <w:tabs>
          <w:tab w:val="right" w:leader="dot" w:pos="9355"/>
          <w:tab w:val="clear" w:pos="9241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_Toc8554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</w:rPr>
        <w:t>6.4</w:t>
      </w:r>
      <w:r>
        <w:rPr>
          <w:rFonts w:hint="eastAsia" w:ascii="黑体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  <w:lang w:eastAsia="zh-CN"/>
        </w:rPr>
        <w:t>　</w:t>
      </w:r>
      <w:r>
        <w:rPr>
          <w:szCs w:val="24"/>
          <w:highlight w:val="none"/>
        </w:rPr>
        <w:t>标准色与色值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_Toc8554 \h </w:instrText>
      </w:r>
      <w:r>
        <w:rPr>
          <w:highlight w:val="none"/>
        </w:rPr>
        <w:fldChar w:fldCharType="separate"/>
      </w:r>
      <w:r>
        <w:rPr>
          <w:highlight w:val="none"/>
        </w:rPr>
        <w:t>4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5"/>
        <w:tabs>
          <w:tab w:val="right" w:leader="dot" w:pos="9355"/>
          <w:tab w:val="clear" w:pos="9241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_Toc24090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</w:rPr>
        <w:t>6.5</w:t>
      </w:r>
      <w:r>
        <w:rPr>
          <w:rFonts w:hint="eastAsia" w:ascii="黑体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  <w:lang w:eastAsia="zh-CN"/>
        </w:rPr>
        <w:t>　</w:t>
      </w:r>
      <w:r>
        <w:rPr>
          <w:rFonts w:hint="eastAsia"/>
          <w:szCs w:val="24"/>
          <w:highlight w:val="none"/>
        </w:rPr>
        <w:t>辅助色与色值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_Toc24090 \h </w:instrText>
      </w:r>
      <w:r>
        <w:rPr>
          <w:highlight w:val="none"/>
        </w:rPr>
        <w:fldChar w:fldCharType="separate"/>
      </w:r>
      <w:r>
        <w:rPr>
          <w:highlight w:val="none"/>
        </w:rPr>
        <w:t>5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5"/>
        <w:tabs>
          <w:tab w:val="right" w:leader="dot" w:pos="9355"/>
          <w:tab w:val="clear" w:pos="9241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_Toc24881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</w:rPr>
        <w:t>6.6</w:t>
      </w:r>
      <w:r>
        <w:rPr>
          <w:rFonts w:hint="eastAsia" w:ascii="黑体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  <w:lang w:eastAsia="zh-CN"/>
        </w:rPr>
        <w:t>　</w:t>
      </w:r>
      <w:r>
        <w:rPr>
          <w:rFonts w:hint="eastAsia"/>
          <w:szCs w:val="24"/>
          <w:highlight w:val="none"/>
        </w:rPr>
        <w:t>图形符号元素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_Toc24881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9"/>
        <w:tabs>
          <w:tab w:val="right" w:leader="dot" w:pos="9355"/>
          <w:tab w:val="clear" w:pos="9242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_Toc2209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/>
          <w:i w:val="0"/>
          <w:szCs w:val="21"/>
          <w:highlight w:val="none"/>
        </w:rPr>
        <w:t>7</w:t>
      </w:r>
      <w:r>
        <w:rPr>
          <w:rFonts w:hint="eastAsia" w:ascii="黑体" w:eastAsia="黑体"/>
          <w:i w:val="0"/>
          <w:szCs w:val="21"/>
          <w:highlight w:val="none"/>
          <w:lang w:eastAsia="zh-CN"/>
        </w:rPr>
        <w:t>　</w:t>
      </w:r>
      <w:r>
        <w:rPr>
          <w:rFonts w:hint="eastAsia"/>
          <w:highlight w:val="none"/>
        </w:rPr>
        <w:t>ETC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VI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>标志</w:t>
      </w:r>
      <w:r>
        <w:rPr>
          <w:rFonts w:hint="eastAsia"/>
          <w:highlight w:val="none"/>
        </w:rPr>
        <w:t>分类与规格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_Toc2209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5"/>
        <w:tabs>
          <w:tab w:val="right" w:leader="dot" w:pos="9355"/>
          <w:tab w:val="clear" w:pos="9241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_Toc11175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</w:rPr>
        <w:t>7.1</w:t>
      </w:r>
      <w:r>
        <w:rPr>
          <w:rFonts w:hint="eastAsia" w:ascii="黑体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  <w:lang w:eastAsia="zh-CN"/>
        </w:rPr>
        <w:t>　</w:t>
      </w:r>
      <w:r>
        <w:rPr>
          <w:rFonts w:hint="eastAsia"/>
          <w:szCs w:val="24"/>
          <w:highlight w:val="none"/>
        </w:rPr>
        <w:t>闸机杆引导</w:t>
      </w:r>
      <w:r>
        <w:rPr>
          <w:rFonts w:hint="eastAsia"/>
          <w:szCs w:val="24"/>
          <w:highlight w:val="none"/>
          <w:lang w:eastAsia="zh-CN"/>
        </w:rPr>
        <w:t>标志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_Toc11175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5"/>
        <w:tabs>
          <w:tab w:val="right" w:leader="dot" w:pos="9355"/>
          <w:tab w:val="clear" w:pos="9241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_Toc13384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</w:rPr>
        <w:t>7.2</w:t>
      </w:r>
      <w:r>
        <w:rPr>
          <w:rFonts w:hint="eastAsia" w:ascii="黑体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  <w:lang w:eastAsia="zh-CN"/>
        </w:rPr>
        <w:t>　</w:t>
      </w:r>
      <w:r>
        <w:rPr>
          <w:rFonts w:hint="eastAsia"/>
          <w:szCs w:val="24"/>
          <w:highlight w:val="none"/>
        </w:rPr>
        <w:t>出入口立牌</w:t>
      </w:r>
      <w:r>
        <w:rPr>
          <w:rFonts w:hint="eastAsia"/>
          <w:szCs w:val="24"/>
          <w:highlight w:val="none"/>
          <w:lang w:eastAsia="zh-CN"/>
        </w:rPr>
        <w:t>标志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_Toc13384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5"/>
        <w:tabs>
          <w:tab w:val="right" w:leader="dot" w:pos="9355"/>
          <w:tab w:val="clear" w:pos="9241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_Toc19510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</w:rPr>
        <w:t>7.3</w:t>
      </w:r>
      <w:r>
        <w:rPr>
          <w:rFonts w:hint="eastAsia" w:ascii="黑体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  <w:lang w:eastAsia="zh-CN"/>
        </w:rPr>
        <w:t>　</w:t>
      </w:r>
      <w:r>
        <w:rPr>
          <w:rFonts w:hint="eastAsia"/>
          <w:szCs w:val="24"/>
          <w:highlight w:val="none"/>
        </w:rPr>
        <w:t>标价牌</w:t>
      </w:r>
      <w:r>
        <w:rPr>
          <w:rFonts w:hint="eastAsia"/>
          <w:szCs w:val="24"/>
          <w:highlight w:val="none"/>
          <w:lang w:eastAsia="zh-CN"/>
        </w:rPr>
        <w:t>标志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_Toc19510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5"/>
        <w:tabs>
          <w:tab w:val="right" w:leader="dot" w:pos="9355"/>
          <w:tab w:val="clear" w:pos="9241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_Toc6699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</w:rPr>
        <w:t>7.4</w:t>
      </w:r>
      <w:r>
        <w:rPr>
          <w:rFonts w:hint="eastAsia" w:ascii="黑体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  <w:lang w:eastAsia="zh-CN"/>
        </w:rPr>
        <w:t>　</w:t>
      </w:r>
      <w:r>
        <w:rPr>
          <w:rFonts w:hint="eastAsia"/>
          <w:szCs w:val="24"/>
          <w:highlight w:val="none"/>
        </w:rPr>
        <w:t>立柱式导示</w:t>
      </w:r>
      <w:r>
        <w:rPr>
          <w:rFonts w:hint="eastAsia"/>
          <w:szCs w:val="24"/>
          <w:highlight w:val="none"/>
          <w:lang w:eastAsia="zh-CN"/>
        </w:rPr>
        <w:t>标志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_Toc6699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5"/>
        <w:tabs>
          <w:tab w:val="right" w:leader="dot" w:pos="9355"/>
          <w:tab w:val="clear" w:pos="9241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_Toc11652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</w:rPr>
        <w:t>7.5</w:t>
      </w:r>
      <w:r>
        <w:rPr>
          <w:rFonts w:hint="eastAsia" w:ascii="黑体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  <w:lang w:eastAsia="zh-CN"/>
        </w:rPr>
        <w:t>　</w:t>
      </w:r>
      <w:r>
        <w:rPr>
          <w:rFonts w:hint="eastAsia"/>
          <w:szCs w:val="24"/>
          <w:highlight w:val="none"/>
        </w:rPr>
        <w:t>岗亭式导示</w:t>
      </w:r>
      <w:r>
        <w:rPr>
          <w:rFonts w:hint="eastAsia"/>
          <w:szCs w:val="24"/>
          <w:highlight w:val="none"/>
          <w:lang w:eastAsia="zh-CN"/>
        </w:rPr>
        <w:t>标志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_Toc11652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5"/>
        <w:tabs>
          <w:tab w:val="right" w:leader="dot" w:pos="9355"/>
          <w:tab w:val="clear" w:pos="9241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_Toc123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</w:rPr>
        <w:t>7.6</w:t>
      </w:r>
      <w:r>
        <w:rPr>
          <w:rFonts w:hint="eastAsia" w:ascii="黑体" w:eastAsia="黑体" w:cs="Times New Roman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Cs w:val="21"/>
          <w:highlight w:val="none"/>
          <w:vertAlign w:val="baseline"/>
          <w:lang w:eastAsia="zh-CN"/>
        </w:rPr>
        <w:t>　</w:t>
      </w:r>
      <w:r>
        <w:rPr>
          <w:szCs w:val="24"/>
          <w:highlight w:val="none"/>
        </w:rPr>
        <w:t>防撞条</w:t>
      </w:r>
      <w:r>
        <w:rPr>
          <w:rFonts w:hint="eastAsia"/>
          <w:szCs w:val="24"/>
          <w:highlight w:val="none"/>
        </w:rPr>
        <w:t>提示</w:t>
      </w:r>
      <w:r>
        <w:rPr>
          <w:rFonts w:hint="eastAsia"/>
          <w:szCs w:val="24"/>
          <w:highlight w:val="none"/>
          <w:lang w:eastAsia="zh-CN"/>
        </w:rPr>
        <w:t>标志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_Toc123 \h </w:instrText>
      </w:r>
      <w:r>
        <w:rPr>
          <w:highlight w:val="none"/>
        </w:rPr>
        <w:fldChar w:fldCharType="separate"/>
      </w:r>
      <w:r>
        <w:rPr>
          <w:highlight w:val="none"/>
        </w:rPr>
        <w:t>10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9"/>
        <w:tabs>
          <w:tab w:val="right" w:leader="dot" w:pos="9355"/>
          <w:tab w:val="clear" w:pos="9242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_Toc4731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/>
          <w:i w:val="0"/>
          <w:szCs w:val="21"/>
          <w:highlight w:val="none"/>
        </w:rPr>
        <w:t>8</w:t>
      </w:r>
      <w:r>
        <w:rPr>
          <w:rFonts w:hint="eastAsia" w:ascii="黑体" w:eastAsia="黑体"/>
          <w:i w:val="0"/>
          <w:szCs w:val="21"/>
          <w:highlight w:val="none"/>
          <w:lang w:eastAsia="zh-CN"/>
        </w:rPr>
        <w:t>　</w:t>
      </w:r>
      <w:r>
        <w:rPr>
          <w:rFonts w:hint="eastAsia" w:hAnsi="宋体" w:eastAsia="宋体" w:cs="宋体"/>
          <w:highlight w:val="none"/>
          <w:lang w:eastAsia="zh-CN"/>
        </w:rPr>
        <w:t>标志</w:t>
      </w:r>
      <w:r>
        <w:rPr>
          <w:rFonts w:hint="eastAsia"/>
          <w:highlight w:val="none"/>
        </w:rPr>
        <w:t>的反光和照明要求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_Toc4731 \h </w:instrText>
      </w:r>
      <w:r>
        <w:rPr>
          <w:highlight w:val="none"/>
        </w:rPr>
        <w:fldChar w:fldCharType="separate"/>
      </w:r>
      <w:r>
        <w:rPr>
          <w:highlight w:val="none"/>
        </w:rPr>
        <w:t>11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9"/>
        <w:tabs>
          <w:tab w:val="right" w:leader="dot" w:pos="9355"/>
          <w:tab w:val="clear" w:pos="9242"/>
        </w:tabs>
        <w:rPr>
          <w:highlight w:val="none"/>
        </w:rPr>
      </w:pPr>
      <w:r>
        <w:rPr>
          <w:rFonts w:hint="eastAsia"/>
          <w:highlight w:val="none"/>
        </w:rPr>
        <w:fldChar w:fldCharType="begin"/>
      </w:r>
      <w:r>
        <w:rPr>
          <w:rFonts w:hint="eastAsia"/>
          <w:highlight w:val="none"/>
        </w:rPr>
        <w:instrText xml:space="preserve"> HYPERLINK \l _Toc26109 </w:instrText>
      </w:r>
      <w:r>
        <w:rPr>
          <w:rFonts w:hint="eastAsia"/>
          <w:highlight w:val="none"/>
        </w:rPr>
        <w:fldChar w:fldCharType="separate"/>
      </w:r>
      <w:r>
        <w:rPr>
          <w:rFonts w:hint="eastAsia" w:ascii="黑体" w:hAnsi="Times New Roman" w:eastAsia="黑体"/>
          <w:i w:val="0"/>
          <w:szCs w:val="21"/>
          <w:highlight w:val="none"/>
        </w:rPr>
        <w:t>9</w:t>
      </w:r>
      <w:r>
        <w:rPr>
          <w:rFonts w:hint="eastAsia" w:ascii="黑体" w:eastAsia="黑体"/>
          <w:i w:val="0"/>
          <w:szCs w:val="21"/>
          <w:highlight w:val="none"/>
          <w:lang w:eastAsia="zh-CN"/>
        </w:rPr>
        <w:t>　</w:t>
      </w:r>
      <w:r>
        <w:rPr>
          <w:rFonts w:hint="eastAsia" w:hAnsi="宋体" w:eastAsia="宋体" w:cs="宋体"/>
          <w:highlight w:val="none"/>
          <w:lang w:eastAsia="zh-CN"/>
        </w:rPr>
        <w:t>标志</w:t>
      </w:r>
      <w:r>
        <w:rPr>
          <w:rFonts w:hint="eastAsia"/>
          <w:highlight w:val="none"/>
        </w:rPr>
        <w:t>施工结果审查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_Toc26109 \h </w:instrText>
      </w:r>
      <w:r>
        <w:rPr>
          <w:highlight w:val="none"/>
        </w:rPr>
        <w:fldChar w:fldCharType="separate"/>
      </w:r>
      <w:r>
        <w:rPr>
          <w:highlight w:val="none"/>
        </w:rPr>
        <w:t>11</w:t>
      </w:r>
      <w:r>
        <w:rPr>
          <w:highlight w:val="none"/>
        </w:rPr>
        <w:fldChar w:fldCharType="end"/>
      </w:r>
      <w:r>
        <w:rPr>
          <w:rFonts w:hint="eastAsia"/>
          <w:highlight w:val="none"/>
        </w:rPr>
        <w:fldChar w:fldCharType="end"/>
      </w:r>
    </w:p>
    <w:p>
      <w:pPr>
        <w:pStyle w:val="31"/>
        <w:rPr>
          <w:highlight w:val="none"/>
        </w:rPr>
      </w:pPr>
      <w:r>
        <w:rPr>
          <w:rFonts w:hint="eastAsia"/>
          <w:highlight w:val="none"/>
        </w:rPr>
        <w:fldChar w:fldCharType="end"/>
      </w:r>
    </w:p>
    <w:p>
      <w:pPr>
        <w:pStyle w:val="32"/>
        <w:rPr>
          <w:highlight w:val="none"/>
        </w:rPr>
        <w:sectPr>
          <w:headerReference r:id="rId5" w:type="default"/>
          <w:footerReference r:id="rId6" w:type="default"/>
          <w:footerReference r:id="rId7" w:type="even"/>
          <w:pgSz w:w="11906" w:h="16838"/>
          <w:pgMar w:top="1417" w:right="1134" w:bottom="1134" w:left="1417" w:header="1418" w:footer="1134" w:gutter="0"/>
          <w:pgNumType w:fmt="upperRoman" w:start="1"/>
          <w:cols w:space="720" w:num="1"/>
          <w:formProt w:val="0"/>
          <w:docGrid w:type="lines" w:linePitch="312" w:charSpace="0"/>
        </w:sectPr>
      </w:pPr>
    </w:p>
    <w:p>
      <w:pPr>
        <w:pStyle w:val="32"/>
        <w:rPr>
          <w:highlight w:val="none"/>
        </w:rPr>
      </w:pPr>
      <w:bookmarkStart w:id="2" w:name="_Toc18819"/>
      <w:bookmarkStart w:id="3" w:name="_Toc24066"/>
      <w:bookmarkStart w:id="4" w:name="_Toc1316"/>
      <w:bookmarkStart w:id="5" w:name="_Toc10071"/>
      <w:r>
        <w:rPr>
          <w:rFonts w:hint="eastAsia"/>
          <w:highlight w:val="none"/>
        </w:rPr>
        <w:t>前</w:t>
      </w:r>
      <w:bookmarkStart w:id="6" w:name="BKQY"/>
      <w:r>
        <w:rPr>
          <w:highlight w:val="none"/>
        </w:rPr>
        <w:t>  </w:t>
      </w:r>
      <w:r>
        <w:rPr>
          <w:rFonts w:hint="eastAsia"/>
          <w:highlight w:val="none"/>
        </w:rPr>
        <w:t>言</w:t>
      </w:r>
      <w:bookmarkEnd w:id="2"/>
      <w:bookmarkEnd w:id="3"/>
      <w:bookmarkEnd w:id="4"/>
      <w:bookmarkEnd w:id="5"/>
      <w:bookmarkEnd w:id="6"/>
    </w:p>
    <w:p>
      <w:pPr>
        <w:pStyle w:val="31"/>
        <w:spacing w:line="360" w:lineRule="auto"/>
        <w:rPr>
          <w:rFonts w:hAnsi="宋体"/>
          <w:highlight w:val="none"/>
        </w:rPr>
      </w:pPr>
      <w:r>
        <w:rPr>
          <w:rFonts w:hint="eastAsia" w:hAnsi="宋体"/>
          <w:highlight w:val="none"/>
        </w:rPr>
        <w:t>本文件按照GB/T 1.1-2020《标准化工作导则</w:t>
      </w:r>
      <w:r>
        <w:rPr>
          <w:rFonts w:hint="eastAsia" w:hAnsi="宋体"/>
          <w:highlight w:val="none"/>
          <w:lang w:eastAsia="zh-CN"/>
        </w:rPr>
        <w:t>　</w:t>
      </w:r>
      <w:r>
        <w:rPr>
          <w:rFonts w:hint="eastAsia" w:hAnsi="宋体"/>
          <w:highlight w:val="none"/>
        </w:rPr>
        <w:t>第1部分：标准化文件的结构和起草规则》的规</w:t>
      </w:r>
      <w:r>
        <w:rPr>
          <w:rFonts w:hAnsi="宋体"/>
          <w:highlight w:val="none"/>
        </w:rPr>
        <w:t>定</w:t>
      </w:r>
      <w:r>
        <w:rPr>
          <w:rFonts w:hint="eastAsia" w:hAnsi="宋体"/>
          <w:highlight w:val="none"/>
        </w:rPr>
        <w:t>起草。</w:t>
      </w:r>
    </w:p>
    <w:p>
      <w:pPr>
        <w:pStyle w:val="31"/>
        <w:spacing w:line="360" w:lineRule="auto"/>
        <w:rPr>
          <w:rFonts w:hAnsi="宋体"/>
          <w:highlight w:val="none"/>
        </w:rPr>
      </w:pPr>
      <w:r>
        <w:rPr>
          <w:rFonts w:hint="eastAsia" w:hAnsi="宋体"/>
          <w:highlight w:val="none"/>
        </w:rPr>
        <w:t>本文件</w:t>
      </w:r>
      <w:r>
        <w:rPr>
          <w:rFonts w:hAnsi="宋体"/>
          <w:highlight w:val="none"/>
        </w:rPr>
        <w:t>由</w:t>
      </w:r>
      <w:r>
        <w:rPr>
          <w:rFonts w:hint="eastAsia" w:hAnsi="宋体"/>
          <w:highlight w:val="none"/>
        </w:rPr>
        <w:t>辽宁省工业和信息化厅</w:t>
      </w:r>
      <w:r>
        <w:rPr>
          <w:rFonts w:hAnsi="宋体"/>
          <w:highlight w:val="none"/>
        </w:rPr>
        <w:t>提出。</w:t>
      </w:r>
    </w:p>
    <w:p>
      <w:pPr>
        <w:pStyle w:val="31"/>
        <w:spacing w:line="360" w:lineRule="auto"/>
        <w:rPr>
          <w:rFonts w:hAnsi="宋体"/>
          <w:highlight w:val="none"/>
        </w:rPr>
      </w:pPr>
      <w:r>
        <w:rPr>
          <w:rFonts w:hint="eastAsia" w:hAnsi="宋体"/>
          <w:highlight w:val="none"/>
        </w:rPr>
        <w:t>本文件</w:t>
      </w:r>
      <w:r>
        <w:rPr>
          <w:rFonts w:hAnsi="宋体"/>
          <w:highlight w:val="none"/>
        </w:rPr>
        <w:t>由</w:t>
      </w:r>
      <w:r>
        <w:rPr>
          <w:rFonts w:hint="eastAsia" w:hAnsi="宋体"/>
          <w:highlight w:val="none"/>
        </w:rPr>
        <w:t>辽宁省工业和信息化厅归口</w:t>
      </w:r>
      <w:r>
        <w:rPr>
          <w:rFonts w:hAnsi="宋体"/>
          <w:highlight w:val="none"/>
        </w:rPr>
        <w:t>。</w:t>
      </w:r>
    </w:p>
    <w:p>
      <w:pPr>
        <w:pStyle w:val="31"/>
        <w:spacing w:line="360" w:lineRule="auto"/>
        <w:rPr>
          <w:rFonts w:hAnsi="宋体"/>
        </w:rPr>
      </w:pPr>
      <w:r>
        <w:rPr>
          <w:rFonts w:hint="eastAsia" w:hAnsi="宋体"/>
        </w:rPr>
        <w:t>本文件起草单位：辽宁高速通智慧出行有限责任公司、沈阳东软交通信息技术有限公司。</w:t>
      </w:r>
    </w:p>
    <w:p>
      <w:pPr>
        <w:pStyle w:val="31"/>
        <w:spacing w:line="360" w:lineRule="auto"/>
      </w:pPr>
      <w:r>
        <w:rPr>
          <w:rFonts w:hint="eastAsia" w:hAnsi="宋体"/>
        </w:rPr>
        <w:t>本文件主要起草人：何沛韬、展恩宁、陈昱靦、朱瑞新、葛大明、王梦麟、王阳、肇毓</w:t>
      </w:r>
      <w:bookmarkStart w:id="81" w:name="_GoBack"/>
      <w:bookmarkEnd w:id="81"/>
      <w:r>
        <w:rPr>
          <w:rFonts w:hint="eastAsia"/>
        </w:rPr>
        <w:t>。</w:t>
      </w:r>
    </w:p>
    <w:p>
      <w:pPr>
        <w:pStyle w:val="31"/>
        <w:spacing w:line="360" w:lineRule="auto"/>
        <w:rPr>
          <w:highlight w:val="none"/>
        </w:rPr>
      </w:pPr>
      <w:r>
        <w:rPr>
          <w:rFonts w:hint="eastAsia"/>
          <w:highlight w:val="none"/>
        </w:rPr>
        <w:t>本文件发布实施后，任何单位和个人如有问题和意见建议，均可以通过来电和来函等方式进行反馈，我们将及时答复并认真处理，根据实际情况依法进行评估及复审。</w:t>
      </w:r>
    </w:p>
    <w:p>
      <w:pPr>
        <w:pStyle w:val="31"/>
        <w:spacing w:line="360" w:lineRule="auto"/>
        <w:rPr>
          <w:rFonts w:hint="eastAsia"/>
          <w:szCs w:val="22"/>
          <w:highlight w:val="none"/>
        </w:rPr>
      </w:pPr>
      <w:r>
        <w:rPr>
          <w:rFonts w:hint="eastAsia"/>
          <w:highlight w:val="none"/>
        </w:rPr>
        <w:t>本文件起草单位通讯地址和联系电话：</w:t>
      </w:r>
      <w:r>
        <w:rPr>
          <w:rFonts w:hint="eastAsia"/>
          <w:szCs w:val="22"/>
          <w:highlight w:val="none"/>
        </w:rPr>
        <w:t xml:space="preserve">辽宁省沈阳市浑南区胜利南街677-1，+8613700026853。 </w:t>
      </w:r>
    </w:p>
    <w:p>
      <w:pPr>
        <w:pStyle w:val="31"/>
        <w:spacing w:line="360" w:lineRule="auto"/>
        <w:rPr>
          <w:rFonts w:hint="eastAsia"/>
          <w:szCs w:val="22"/>
          <w:highlight w:val="none"/>
        </w:rPr>
      </w:pPr>
    </w:p>
    <w:p>
      <w:pPr>
        <w:pStyle w:val="31"/>
        <w:rPr>
          <w:rFonts w:hint="eastAsia"/>
          <w:szCs w:val="22"/>
          <w:highlight w:val="none"/>
        </w:rPr>
        <w:sectPr>
          <w:footerReference r:id="rId8" w:type="default"/>
          <w:pgSz w:w="11906" w:h="16838"/>
          <w:pgMar w:top="1417" w:right="1134" w:bottom="1134" w:left="1417" w:header="1418" w:footer="1134" w:gutter="0"/>
          <w:pgNumType w:fmt="upperRoman"/>
          <w:cols w:space="720" w:num="1"/>
          <w:formProt w:val="0"/>
          <w:docGrid w:type="lines" w:linePitch="312" w:charSpace="0"/>
        </w:sectPr>
      </w:pPr>
    </w:p>
    <w:bookmarkEnd w:id="0"/>
    <w:p>
      <w:pPr>
        <w:jc w:val="center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ETC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智慧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停车场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视觉识别要求</w:t>
      </w:r>
    </w:p>
    <w:p>
      <w:pPr>
        <w:pStyle w:val="33"/>
        <w:spacing w:before="312" w:after="312" w:line="360" w:lineRule="auto"/>
        <w:rPr>
          <w:highlight w:val="none"/>
        </w:rPr>
      </w:pPr>
      <w:bookmarkStart w:id="7" w:name="_Toc5422"/>
      <w:bookmarkStart w:id="8" w:name="_Toc15340"/>
      <w:bookmarkStart w:id="9" w:name="_Toc13382"/>
      <w:bookmarkStart w:id="10" w:name="_Toc21437"/>
      <w:r>
        <w:rPr>
          <w:rFonts w:hint="eastAsia"/>
          <w:highlight w:val="none"/>
        </w:rPr>
        <w:t>范围</w:t>
      </w:r>
      <w:bookmarkEnd w:id="7"/>
      <w:bookmarkEnd w:id="8"/>
      <w:bookmarkEnd w:id="9"/>
      <w:bookmarkEnd w:id="10"/>
    </w:p>
    <w:p>
      <w:pPr>
        <w:pStyle w:val="31"/>
        <w:spacing w:line="360" w:lineRule="auto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本文件规定停车场（库）出入口处，就ETC VI</w:t>
      </w:r>
      <w:r>
        <w:rPr>
          <w:rFonts w:hint="eastAsia"/>
          <w:szCs w:val="21"/>
          <w:highlight w:val="none"/>
          <w:lang w:val="en-US" w:eastAsia="zh-CN"/>
        </w:rPr>
        <w:t>标志</w:t>
      </w:r>
      <w:r>
        <w:rPr>
          <w:rFonts w:hint="eastAsia"/>
          <w:szCs w:val="21"/>
          <w:highlight w:val="none"/>
        </w:rPr>
        <w:t>类型、</w:t>
      </w:r>
      <w:r>
        <w:rPr>
          <w:rFonts w:hint="eastAsia"/>
          <w:szCs w:val="21"/>
          <w:highlight w:val="none"/>
          <w:lang w:val="en-US" w:eastAsia="zh-CN"/>
        </w:rPr>
        <w:t>标志</w:t>
      </w:r>
      <w:r>
        <w:rPr>
          <w:rFonts w:hint="eastAsia"/>
          <w:szCs w:val="21"/>
          <w:highlight w:val="none"/>
        </w:rPr>
        <w:t>形态、</w:t>
      </w:r>
      <w:r>
        <w:rPr>
          <w:rFonts w:hint="eastAsia"/>
          <w:szCs w:val="21"/>
          <w:highlight w:val="none"/>
          <w:lang w:val="en-US" w:eastAsia="zh-CN"/>
        </w:rPr>
        <w:t>标志</w:t>
      </w:r>
      <w:r>
        <w:rPr>
          <w:rFonts w:hint="eastAsia"/>
          <w:szCs w:val="21"/>
          <w:highlight w:val="none"/>
        </w:rPr>
        <w:t>内容</w:t>
      </w:r>
      <w:r>
        <w:rPr>
          <w:rFonts w:hint="eastAsia"/>
          <w:szCs w:val="21"/>
          <w:highlight w:val="none"/>
          <w:lang w:val="en-US" w:eastAsia="zh-CN"/>
        </w:rPr>
        <w:t>和标志</w:t>
      </w:r>
      <w:r>
        <w:rPr>
          <w:rFonts w:hint="eastAsia"/>
          <w:szCs w:val="21"/>
          <w:highlight w:val="none"/>
        </w:rPr>
        <w:t>尺寸给出标准要求。实现向车主与公众传达</w:t>
      </w:r>
      <w:r>
        <w:rPr>
          <w:rFonts w:hint="eastAsia"/>
          <w:szCs w:val="21"/>
          <w:highlight w:val="none"/>
          <w:lang w:val="en-US" w:eastAsia="zh-CN"/>
        </w:rPr>
        <w:t>信息</w:t>
      </w:r>
      <w:r>
        <w:rPr>
          <w:rFonts w:hint="eastAsia"/>
          <w:szCs w:val="21"/>
          <w:highlight w:val="none"/>
        </w:rPr>
        <w:t>：停车场（库）支持停车费ETC形式无感支付、停车出场ETC无感支付车道引导提示及停车场（库）归属辽宁高速ETC发行机构统一管理信息。</w:t>
      </w:r>
    </w:p>
    <w:p>
      <w:pPr>
        <w:pStyle w:val="31"/>
        <w:spacing w:line="360" w:lineRule="auto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>本文件适用于接入辽宁高速ETC升级改造停车场（库）以及辽宁高速投资建设停车场（库）。</w:t>
      </w:r>
    </w:p>
    <w:p>
      <w:pPr>
        <w:pStyle w:val="33"/>
        <w:spacing w:before="312" w:after="312" w:line="360" w:lineRule="auto"/>
        <w:rPr>
          <w:highlight w:val="none"/>
        </w:rPr>
      </w:pPr>
      <w:bookmarkStart w:id="11" w:name="_Toc30867"/>
      <w:bookmarkStart w:id="12" w:name="_Toc13501"/>
      <w:bookmarkStart w:id="13" w:name="_Toc28726"/>
      <w:bookmarkStart w:id="14" w:name="_Toc969"/>
      <w:r>
        <w:rPr>
          <w:rFonts w:hint="eastAsia"/>
          <w:highlight w:val="none"/>
        </w:rPr>
        <w:t>规范性引用文件</w:t>
      </w:r>
      <w:bookmarkEnd w:id="11"/>
      <w:bookmarkEnd w:id="12"/>
      <w:bookmarkEnd w:id="13"/>
      <w:bookmarkEnd w:id="14"/>
    </w:p>
    <w:p>
      <w:pPr>
        <w:spacing w:line="360" w:lineRule="auto"/>
        <w:ind w:firstLine="420" w:firstLineChars="200"/>
        <w:rPr>
          <w:rFonts w:hint="eastAsia" w:hAnsi="宋体"/>
          <w:highlight w:val="none"/>
        </w:rPr>
      </w:pPr>
      <w:r>
        <w:rPr>
          <w:rFonts w:hint="eastAsia" w:hAnsi="宋体"/>
          <w:highlight w:val="none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>
      <w:pPr>
        <w:pStyle w:val="31"/>
        <w:spacing w:line="360" w:lineRule="auto"/>
        <w:rPr>
          <w:rFonts w:hint="eastAsia" w:hAnsi="宋体"/>
        </w:rPr>
      </w:pPr>
      <w:r>
        <w:rPr>
          <w:rFonts w:hint="eastAsia" w:hAnsi="宋体"/>
        </w:rPr>
        <w:t>JT/T 279</w:t>
      </w:r>
      <w:r>
        <w:rPr>
          <w:rFonts w:hint="eastAsia" w:hAnsi="宋体"/>
          <w:lang w:val="en-US" w:eastAsia="zh-CN"/>
        </w:rPr>
        <w:t>-</w:t>
      </w:r>
      <w:r>
        <w:rPr>
          <w:rFonts w:hint="eastAsia" w:hAnsi="宋体"/>
        </w:rPr>
        <w:t>2004</w:t>
      </w:r>
      <w:r>
        <w:rPr>
          <w:rFonts w:hint="eastAsia" w:hAnsi="宋体"/>
          <w:lang w:val="en-US" w:eastAsia="zh-CN"/>
        </w:rPr>
        <w:t>　</w:t>
      </w:r>
      <w:r>
        <w:rPr>
          <w:rFonts w:hint="eastAsia" w:hAnsi="宋体"/>
        </w:rPr>
        <w:t>公路交通标志板</w:t>
      </w:r>
    </w:p>
    <w:p>
      <w:pPr>
        <w:pStyle w:val="33"/>
        <w:spacing w:before="312" w:after="312" w:line="360" w:lineRule="auto"/>
        <w:rPr>
          <w:highlight w:val="none"/>
        </w:rPr>
      </w:pPr>
      <w:bookmarkStart w:id="15" w:name="_Toc5294"/>
      <w:bookmarkStart w:id="16" w:name="_Toc420509244"/>
      <w:bookmarkStart w:id="17" w:name="_Toc420509188"/>
      <w:bookmarkStart w:id="18" w:name="_Toc12695"/>
      <w:bookmarkStart w:id="19" w:name="_Toc1816"/>
      <w:bookmarkStart w:id="20" w:name="_Toc24065"/>
      <w:r>
        <w:rPr>
          <w:rFonts w:hint="eastAsia"/>
          <w:highlight w:val="none"/>
        </w:rPr>
        <w:t>术语和定义</w:t>
      </w:r>
      <w:bookmarkEnd w:id="15"/>
      <w:bookmarkEnd w:id="16"/>
      <w:bookmarkEnd w:id="17"/>
      <w:bookmarkEnd w:id="18"/>
      <w:bookmarkEnd w:id="19"/>
      <w:bookmarkEnd w:id="20"/>
    </w:p>
    <w:p>
      <w:pPr>
        <w:pStyle w:val="31"/>
        <w:spacing w:line="360" w:lineRule="auto"/>
        <w:rPr>
          <w:rFonts w:hint="eastAsia" w:hAnsi="宋体"/>
          <w:highlight w:val="none"/>
        </w:rPr>
      </w:pPr>
      <w:r>
        <w:rPr>
          <w:rFonts w:hAnsi="宋体"/>
          <w:highlight w:val="none"/>
        </w:rPr>
        <w:t>下列术语和定义适用于本</w:t>
      </w:r>
      <w:r>
        <w:rPr>
          <w:rFonts w:hint="eastAsia" w:hAnsi="宋体"/>
          <w:highlight w:val="none"/>
        </w:rPr>
        <w:t>文件。</w:t>
      </w:r>
    </w:p>
    <w:p>
      <w:pPr>
        <w:pStyle w:val="34"/>
        <w:spacing w:before="156" w:after="156" w:line="360" w:lineRule="auto"/>
        <w:rPr>
          <w:highlight w:val="none"/>
        </w:rPr>
      </w:pPr>
    </w:p>
    <w:p>
      <w:pPr>
        <w:pStyle w:val="31"/>
        <w:spacing w:line="360" w:lineRule="auto"/>
        <w:rPr>
          <w:rFonts w:ascii="黑体" w:eastAsia="黑体"/>
          <w:szCs w:val="21"/>
          <w:highlight w:val="none"/>
        </w:rPr>
      </w:pPr>
      <w:r>
        <w:rPr>
          <w:rFonts w:hint="eastAsia" w:ascii="黑体" w:eastAsia="黑体"/>
          <w:szCs w:val="21"/>
          <w:highlight w:val="none"/>
        </w:rPr>
        <w:t>识别标志</w:t>
      </w:r>
      <w:r>
        <w:rPr>
          <w:rFonts w:hint="eastAsia" w:ascii="黑体" w:eastAsia="黑体"/>
          <w:szCs w:val="21"/>
          <w:highlight w:val="none"/>
          <w:lang w:eastAsia="zh-CN"/>
        </w:rPr>
        <w:t>　</w:t>
      </w:r>
      <w:r>
        <w:rPr>
          <w:rFonts w:hint="eastAsia" w:ascii="黑体" w:eastAsia="黑体"/>
          <w:szCs w:val="21"/>
          <w:highlight w:val="none"/>
        </w:rPr>
        <w:t>recognition sign</w:t>
      </w:r>
    </w:p>
    <w:p>
      <w:pPr>
        <w:pStyle w:val="31"/>
        <w:spacing w:line="360" w:lineRule="auto"/>
        <w:rPr>
          <w:highlight w:val="none"/>
        </w:rPr>
      </w:pPr>
      <w:r>
        <w:rPr>
          <w:rFonts w:hint="eastAsia"/>
          <w:highlight w:val="none"/>
        </w:rPr>
        <w:t>设立在公共停车场（库）入口处，用于显示停车场（库）类别、名称和规则等服务信息的标志。</w:t>
      </w:r>
    </w:p>
    <w:p>
      <w:pPr>
        <w:pStyle w:val="34"/>
        <w:spacing w:before="156" w:after="156" w:line="360" w:lineRule="auto"/>
        <w:rPr>
          <w:highlight w:val="none"/>
        </w:rPr>
      </w:pPr>
    </w:p>
    <w:p>
      <w:pPr>
        <w:pStyle w:val="31"/>
        <w:spacing w:line="360" w:lineRule="auto"/>
        <w:rPr>
          <w:rFonts w:ascii="黑体" w:eastAsia="黑体"/>
          <w:szCs w:val="21"/>
          <w:highlight w:val="none"/>
        </w:rPr>
      </w:pPr>
      <w:r>
        <w:rPr>
          <w:rFonts w:hint="eastAsia" w:ascii="黑体" w:eastAsia="黑体"/>
          <w:szCs w:val="21"/>
          <w:highlight w:val="none"/>
          <w:lang w:val="en-US" w:eastAsia="zh-CN"/>
        </w:rPr>
        <w:t>岗</w:t>
      </w:r>
      <w:r>
        <w:rPr>
          <w:rFonts w:hint="eastAsia" w:ascii="黑体" w:eastAsia="黑体"/>
          <w:szCs w:val="21"/>
          <w:highlight w:val="none"/>
        </w:rPr>
        <w:t>亭</w:t>
      </w:r>
      <w:r>
        <w:rPr>
          <w:rFonts w:hint="eastAsia" w:ascii="黑体" w:eastAsia="黑体"/>
          <w:szCs w:val="21"/>
          <w:highlight w:val="none"/>
          <w:lang w:eastAsia="zh-CN"/>
        </w:rPr>
        <w:t>　</w:t>
      </w:r>
      <w:r>
        <w:rPr>
          <w:rFonts w:hint="eastAsia" w:ascii="黑体" w:eastAsia="黑体"/>
          <w:szCs w:val="21"/>
          <w:highlight w:val="none"/>
          <w:lang w:val="en-US" w:eastAsia="zh-CN"/>
        </w:rPr>
        <w:t>t</w:t>
      </w:r>
      <w:r>
        <w:rPr>
          <w:rFonts w:ascii="黑体" w:eastAsia="黑体"/>
          <w:szCs w:val="21"/>
          <w:highlight w:val="none"/>
        </w:rPr>
        <w:t>oll booths</w:t>
      </w:r>
    </w:p>
    <w:p>
      <w:pPr>
        <w:pStyle w:val="31"/>
        <w:spacing w:line="360" w:lineRule="auto"/>
        <w:rPr>
          <w:rFonts w:hint="eastAsia" w:hAnsi="宋体"/>
          <w:highlight w:val="none"/>
        </w:rPr>
      </w:pPr>
      <w:r>
        <w:rPr>
          <w:rFonts w:hint="eastAsia"/>
          <w:highlight w:val="none"/>
          <w:lang w:val="en-US" w:eastAsia="zh-CN"/>
        </w:rPr>
        <w:t>岗亭通常指</w:t>
      </w:r>
      <w:r>
        <w:rPr>
          <w:rFonts w:hint="eastAsia"/>
          <w:highlight w:val="none"/>
        </w:rPr>
        <w:t>收费亭一般采用不锈钢或石砖等材料制作而成，设置于停车场（库）出入口处，用于对停车场（库）软硬件设施的现场监控管理、停车收费与开票以及为停车场管理人员提供办公环境等。</w:t>
      </w:r>
    </w:p>
    <w:p>
      <w:pPr>
        <w:pStyle w:val="34"/>
        <w:spacing w:before="156" w:after="156" w:line="360" w:lineRule="auto"/>
        <w:rPr>
          <w:highlight w:val="none"/>
        </w:rPr>
      </w:pPr>
      <w:bookmarkStart w:id="21" w:name="_Toc13084"/>
      <w:bookmarkEnd w:id="21"/>
      <w:bookmarkStart w:id="22" w:name="_Toc1258"/>
      <w:bookmarkEnd w:id="22"/>
      <w:bookmarkStart w:id="23" w:name="_Toc11884"/>
      <w:bookmarkEnd w:id="23"/>
      <w:bookmarkStart w:id="24" w:name="_Toc29340"/>
      <w:bookmarkEnd w:id="24"/>
      <w:bookmarkStart w:id="25" w:name="_Toc420509245"/>
      <w:bookmarkEnd w:id="25"/>
      <w:bookmarkStart w:id="26" w:name="_Toc5131"/>
      <w:bookmarkEnd w:id="26"/>
      <w:bookmarkStart w:id="27" w:name="_Toc20309"/>
      <w:bookmarkEnd w:id="27"/>
      <w:bookmarkStart w:id="28" w:name="_Toc420509189"/>
      <w:bookmarkEnd w:id="28"/>
      <w:bookmarkStart w:id="29" w:name="_Toc16784"/>
      <w:bookmarkEnd w:id="29"/>
      <w:bookmarkStart w:id="30" w:name="_Toc12270"/>
      <w:bookmarkEnd w:id="30"/>
      <w:bookmarkStart w:id="31" w:name="_Toc69284345"/>
      <w:bookmarkEnd w:id="31"/>
      <w:bookmarkStart w:id="32" w:name="_Toc26135"/>
      <w:bookmarkEnd w:id="32"/>
      <w:bookmarkStart w:id="33" w:name="_Toc6349"/>
      <w:bookmarkEnd w:id="33"/>
      <w:bookmarkStart w:id="34" w:name="_Toc16863"/>
      <w:bookmarkEnd w:id="34"/>
      <w:bookmarkStart w:id="35" w:name="_Toc420508186"/>
      <w:bookmarkStart w:id="36" w:name="_Toc420582963"/>
    </w:p>
    <w:p>
      <w:pPr>
        <w:pStyle w:val="31"/>
        <w:spacing w:line="360" w:lineRule="auto"/>
        <w:rPr>
          <w:rFonts w:hint="eastAsia" w:ascii="黑体" w:eastAsia="黑体"/>
          <w:szCs w:val="21"/>
          <w:highlight w:val="none"/>
        </w:rPr>
      </w:pPr>
      <w:r>
        <w:rPr>
          <w:rFonts w:hint="eastAsia" w:ascii="黑体" w:eastAsia="黑体"/>
          <w:szCs w:val="21"/>
          <w:highlight w:val="none"/>
        </w:rPr>
        <w:t>停车场（库）ETC VI</w:t>
      </w:r>
      <w:r>
        <w:rPr>
          <w:rFonts w:hint="eastAsia" w:ascii="黑体" w:eastAsia="黑体"/>
          <w:szCs w:val="21"/>
          <w:highlight w:val="none"/>
          <w:lang w:eastAsia="zh-CN"/>
        </w:rPr>
        <w:t>　</w:t>
      </w:r>
      <w:r>
        <w:rPr>
          <w:rFonts w:hint="eastAsia" w:ascii="黑体" w:eastAsia="黑体"/>
          <w:szCs w:val="21"/>
          <w:highlight w:val="none"/>
          <w:lang w:val="en-US" w:eastAsia="zh-CN"/>
        </w:rPr>
        <w:t>p</w:t>
      </w:r>
      <w:r>
        <w:rPr>
          <w:rFonts w:hint="eastAsia" w:ascii="黑体" w:eastAsia="黑体"/>
          <w:szCs w:val="21"/>
          <w:highlight w:val="none"/>
        </w:rPr>
        <w:t>arking lot（garage）</w:t>
      </w:r>
      <w:r>
        <w:rPr>
          <w:rFonts w:hint="eastAsia" w:ascii="黑体" w:eastAsia="黑体"/>
          <w:szCs w:val="21"/>
          <w:highlight w:val="none"/>
          <w:lang w:val="en-US" w:eastAsia="zh-CN"/>
        </w:rPr>
        <w:t>e</w:t>
      </w:r>
      <w:r>
        <w:rPr>
          <w:rFonts w:hint="eastAsia" w:ascii="黑体" w:eastAsia="黑体"/>
          <w:szCs w:val="21"/>
          <w:highlight w:val="none"/>
        </w:rPr>
        <w:t xml:space="preserve">lectronic </w:t>
      </w:r>
      <w:r>
        <w:rPr>
          <w:rFonts w:hint="eastAsia" w:ascii="黑体" w:eastAsia="黑体"/>
          <w:szCs w:val="21"/>
          <w:highlight w:val="none"/>
          <w:lang w:val="en-US" w:eastAsia="zh-CN"/>
        </w:rPr>
        <w:t>t</w:t>
      </w:r>
      <w:r>
        <w:rPr>
          <w:rFonts w:hint="eastAsia" w:ascii="黑体" w:eastAsia="黑体"/>
          <w:szCs w:val="21"/>
          <w:highlight w:val="none"/>
        </w:rPr>
        <w:t xml:space="preserve">oll </w:t>
      </w:r>
      <w:r>
        <w:rPr>
          <w:rFonts w:hint="eastAsia" w:ascii="黑体" w:eastAsia="黑体"/>
          <w:szCs w:val="21"/>
          <w:highlight w:val="none"/>
          <w:lang w:val="en-US" w:eastAsia="zh-CN"/>
        </w:rPr>
        <w:t>c</w:t>
      </w:r>
      <w:r>
        <w:rPr>
          <w:rFonts w:hint="eastAsia" w:ascii="黑体" w:eastAsia="黑体"/>
          <w:szCs w:val="21"/>
          <w:highlight w:val="none"/>
        </w:rPr>
        <w:t xml:space="preserve">ollection </w:t>
      </w:r>
      <w:r>
        <w:rPr>
          <w:rFonts w:hint="eastAsia" w:ascii="黑体" w:eastAsia="黑体"/>
          <w:szCs w:val="21"/>
          <w:highlight w:val="none"/>
          <w:lang w:val="en-US" w:eastAsia="zh-CN"/>
        </w:rPr>
        <w:t>v</w:t>
      </w:r>
      <w:r>
        <w:rPr>
          <w:rFonts w:hint="eastAsia" w:ascii="黑体" w:eastAsia="黑体"/>
          <w:szCs w:val="21"/>
          <w:highlight w:val="none"/>
        </w:rPr>
        <w:t xml:space="preserve">isual </w:t>
      </w:r>
      <w:r>
        <w:rPr>
          <w:rFonts w:hint="eastAsia" w:ascii="黑体" w:eastAsia="黑体"/>
          <w:szCs w:val="21"/>
          <w:highlight w:val="none"/>
          <w:lang w:val="en-US" w:eastAsia="zh-CN"/>
        </w:rPr>
        <w:t>i</w:t>
      </w:r>
      <w:r>
        <w:rPr>
          <w:rFonts w:hint="eastAsia" w:ascii="黑体" w:eastAsia="黑体"/>
          <w:szCs w:val="21"/>
          <w:highlight w:val="none"/>
        </w:rPr>
        <w:t>dentity</w:t>
      </w:r>
    </w:p>
    <w:p>
      <w:pPr>
        <w:pStyle w:val="31"/>
        <w:spacing w:line="360" w:lineRule="auto"/>
        <w:rPr>
          <w:highlight w:val="none"/>
        </w:rPr>
      </w:pPr>
      <w:r>
        <w:rPr>
          <w:rFonts w:hint="eastAsia"/>
          <w:highlight w:val="none"/>
        </w:rPr>
        <w:t>停车场（库）进出口ETC VI设计，用来标明停车场（库）接入辽宁高速ETC</w:t>
      </w:r>
      <w:r>
        <w:rPr>
          <w:rFonts w:hint="eastAsia"/>
          <w:highlight w:val="none"/>
          <w:lang w:val="en-US" w:eastAsia="zh-CN"/>
        </w:rPr>
        <w:t>智慧</w:t>
      </w:r>
      <w:r>
        <w:rPr>
          <w:rFonts w:hint="eastAsia"/>
          <w:highlight w:val="none"/>
        </w:rPr>
        <w:t>停车场身份及对停车场（库）进出车辆ETC通行与缴费视觉指引。</w:t>
      </w:r>
    </w:p>
    <w:p>
      <w:pPr>
        <w:pStyle w:val="34"/>
        <w:spacing w:before="156" w:after="156" w:line="360" w:lineRule="auto"/>
        <w:rPr>
          <w:highlight w:val="none"/>
        </w:rPr>
      </w:pPr>
      <w:bookmarkStart w:id="37" w:name="_Toc25872"/>
      <w:bookmarkEnd w:id="37"/>
      <w:bookmarkStart w:id="38" w:name="_Toc17735"/>
      <w:bookmarkEnd w:id="38"/>
      <w:bookmarkStart w:id="39" w:name="_Toc13834"/>
      <w:bookmarkEnd w:id="39"/>
      <w:bookmarkStart w:id="40" w:name="_Toc25416"/>
      <w:bookmarkEnd w:id="40"/>
      <w:bookmarkStart w:id="41" w:name="_Toc1"/>
      <w:bookmarkEnd w:id="41"/>
      <w:bookmarkStart w:id="42" w:name="_Toc69284346"/>
      <w:bookmarkEnd w:id="42"/>
      <w:bookmarkStart w:id="43" w:name="_Toc28225"/>
      <w:bookmarkEnd w:id="43"/>
      <w:bookmarkStart w:id="44" w:name="_Toc5173"/>
      <w:bookmarkEnd w:id="44"/>
      <w:bookmarkStart w:id="45" w:name="_Toc6338"/>
      <w:bookmarkEnd w:id="45"/>
      <w:bookmarkStart w:id="46" w:name="_Toc3009"/>
      <w:bookmarkEnd w:id="46"/>
      <w:bookmarkStart w:id="47" w:name="_Toc24969"/>
      <w:bookmarkEnd w:id="47"/>
      <w:bookmarkStart w:id="48" w:name="_Toc14862"/>
      <w:bookmarkEnd w:id="48"/>
      <w:bookmarkStart w:id="49" w:name="_Toc27557"/>
      <w:bookmarkEnd w:id="49"/>
      <w:bookmarkStart w:id="50" w:name="_Toc1648"/>
      <w:bookmarkEnd w:id="50"/>
      <w:bookmarkStart w:id="51" w:name="_Toc31869"/>
      <w:bookmarkEnd w:id="51"/>
      <w:bookmarkStart w:id="52" w:name="_Toc22486"/>
      <w:bookmarkEnd w:id="52"/>
      <w:bookmarkStart w:id="53" w:name="_Toc4547"/>
      <w:bookmarkEnd w:id="53"/>
      <w:bookmarkStart w:id="54" w:name="_Toc26977"/>
      <w:bookmarkEnd w:id="54"/>
      <w:bookmarkStart w:id="55" w:name="_Toc30586"/>
      <w:bookmarkEnd w:id="55"/>
      <w:bookmarkStart w:id="56" w:name="_Toc69284347"/>
      <w:bookmarkEnd w:id="56"/>
      <w:bookmarkStart w:id="57" w:name="_Toc14701"/>
      <w:bookmarkEnd w:id="57"/>
      <w:bookmarkStart w:id="58" w:name="_Toc5590"/>
      <w:bookmarkEnd w:id="58"/>
      <w:bookmarkStart w:id="59" w:name="_Toc7206"/>
      <w:bookmarkEnd w:id="59"/>
      <w:bookmarkStart w:id="60" w:name="_Toc12836"/>
      <w:bookmarkEnd w:id="60"/>
    </w:p>
    <w:p>
      <w:pPr>
        <w:pStyle w:val="31"/>
        <w:spacing w:line="360" w:lineRule="auto"/>
        <w:rPr>
          <w:rFonts w:ascii="黑体" w:eastAsia="黑体"/>
          <w:szCs w:val="21"/>
          <w:highlight w:val="none"/>
        </w:rPr>
      </w:pPr>
      <w:r>
        <w:rPr>
          <w:rFonts w:hint="eastAsia" w:ascii="黑体" w:eastAsia="黑体"/>
          <w:szCs w:val="21"/>
          <w:highlight w:val="none"/>
        </w:rPr>
        <w:t>引导标志</w:t>
      </w:r>
      <w:r>
        <w:rPr>
          <w:rFonts w:hint="eastAsia" w:ascii="黑体" w:eastAsia="黑体"/>
          <w:szCs w:val="21"/>
          <w:highlight w:val="none"/>
          <w:lang w:val="en-US" w:eastAsia="zh-CN"/>
        </w:rPr>
        <w:t>　</w:t>
      </w:r>
      <w:r>
        <w:rPr>
          <w:rFonts w:hint="eastAsia" w:ascii="黑体" w:eastAsia="黑体"/>
          <w:szCs w:val="21"/>
          <w:highlight w:val="none"/>
        </w:rPr>
        <w:t>guide</w:t>
      </w:r>
      <w:r>
        <w:rPr>
          <w:rFonts w:ascii="黑体" w:eastAsia="黑体"/>
          <w:szCs w:val="21"/>
          <w:highlight w:val="none"/>
        </w:rPr>
        <w:t xml:space="preserve"> </w:t>
      </w:r>
      <w:r>
        <w:rPr>
          <w:rFonts w:hint="eastAsia" w:ascii="黑体" w:eastAsia="黑体"/>
          <w:szCs w:val="21"/>
          <w:highlight w:val="none"/>
        </w:rPr>
        <w:t>sign</w:t>
      </w:r>
    </w:p>
    <w:p>
      <w:pPr>
        <w:pStyle w:val="31"/>
        <w:spacing w:line="360" w:lineRule="auto"/>
        <w:rPr>
          <w:highlight w:val="none"/>
        </w:rPr>
      </w:pPr>
      <w:r>
        <w:rPr>
          <w:rFonts w:hint="eastAsia"/>
          <w:highlight w:val="none"/>
        </w:rPr>
        <w:t>引导车辆进出、车辆停放和人员出入的标志。</w:t>
      </w:r>
    </w:p>
    <w:p>
      <w:pPr>
        <w:pStyle w:val="33"/>
        <w:spacing w:before="312" w:after="312" w:line="360" w:lineRule="auto"/>
        <w:rPr>
          <w:highlight w:val="none"/>
        </w:rPr>
      </w:pPr>
      <w:bookmarkStart w:id="61" w:name="_Toc23092"/>
      <w:bookmarkEnd w:id="61"/>
      <w:bookmarkStart w:id="62" w:name="_Toc29533"/>
      <w:bookmarkEnd w:id="62"/>
      <w:bookmarkStart w:id="63" w:name="_Toc17921"/>
      <w:r>
        <w:rPr>
          <w:rFonts w:hint="eastAsia"/>
          <w:highlight w:val="none"/>
          <w:lang w:val="en-US" w:eastAsia="zh-CN"/>
        </w:rPr>
        <w:t>缩略语</w:t>
      </w:r>
      <w:bookmarkEnd w:id="63"/>
    </w:p>
    <w:p>
      <w:pPr>
        <w:pStyle w:val="31"/>
        <w:spacing w:line="360" w:lineRule="auto"/>
        <w:rPr>
          <w:rFonts w:hint="default"/>
          <w:highlight w:val="none"/>
          <w:lang w:val="en-US"/>
        </w:rPr>
      </w:pPr>
      <w:r>
        <w:rPr>
          <w:rFonts w:hint="eastAsia"/>
          <w:highlight w:val="none"/>
          <w:lang w:val="en-US" w:eastAsia="zh-CN"/>
        </w:rPr>
        <w:t>下列缩略语适用于本文件。</w:t>
      </w:r>
    </w:p>
    <w:p>
      <w:pPr>
        <w:pStyle w:val="31"/>
        <w:spacing w:line="360" w:lineRule="auto"/>
        <w:rPr>
          <w:rFonts w:hint="eastAsia" w:hAnsi="宋体" w:cs="宋体"/>
          <w:kern w:val="2"/>
          <w:szCs w:val="21"/>
          <w:highlight w:val="none"/>
          <w:lang w:eastAsia="zh-CN"/>
        </w:rPr>
      </w:pPr>
      <w:r>
        <w:rPr>
          <w:rFonts w:hint="eastAsia" w:hAnsi="宋体" w:cs="宋体"/>
          <w:kern w:val="2"/>
          <w:szCs w:val="21"/>
          <w:highlight w:val="none"/>
          <w:lang w:val="en-US" w:eastAsia="zh-CN"/>
        </w:rPr>
        <w:t>ETC</w:t>
      </w:r>
      <w:r>
        <w:rPr>
          <w:rFonts w:hint="eastAsia" w:hAnsi="宋体" w:cs="宋体"/>
          <w:kern w:val="2"/>
          <w:szCs w:val="21"/>
          <w:highlight w:val="none"/>
          <w:lang w:eastAsia="zh-CN"/>
        </w:rPr>
        <w:t>：</w:t>
      </w:r>
      <w:r>
        <w:rPr>
          <w:rFonts w:hint="eastAsia" w:hAnsi="宋体" w:cs="宋体"/>
          <w:kern w:val="2"/>
          <w:szCs w:val="21"/>
          <w:highlight w:val="none"/>
        </w:rPr>
        <w:t>电子不停车收费系统</w:t>
      </w:r>
      <w:r>
        <w:rPr>
          <w:rFonts w:hint="eastAsia" w:hAnsi="宋体" w:cs="宋体"/>
          <w:kern w:val="2"/>
          <w:szCs w:val="21"/>
          <w:highlight w:val="none"/>
          <w:lang w:eastAsia="zh-CN"/>
        </w:rPr>
        <w:t>（</w:t>
      </w:r>
      <w:r>
        <w:rPr>
          <w:rFonts w:hint="eastAsia" w:hAnsi="宋体" w:cs="宋体"/>
          <w:kern w:val="2"/>
          <w:szCs w:val="21"/>
          <w:highlight w:val="none"/>
        </w:rPr>
        <w:t>Electronic Toll Collection</w:t>
      </w:r>
      <w:r>
        <w:rPr>
          <w:rFonts w:hint="eastAsia" w:hAnsi="宋体" w:cs="宋体"/>
          <w:kern w:val="2"/>
          <w:szCs w:val="21"/>
          <w:highlight w:val="none"/>
          <w:lang w:eastAsia="zh-CN"/>
        </w:rPr>
        <w:t>）</w:t>
      </w:r>
    </w:p>
    <w:p>
      <w:pPr>
        <w:pStyle w:val="31"/>
        <w:spacing w:line="360" w:lineRule="auto"/>
        <w:rPr>
          <w:rFonts w:hint="eastAsia" w:hAnsi="宋体" w:cs="宋体"/>
          <w:kern w:val="2"/>
          <w:szCs w:val="21"/>
          <w:highlight w:val="none"/>
          <w:lang w:eastAsia="zh-CN"/>
        </w:rPr>
      </w:pPr>
      <w:r>
        <w:rPr>
          <w:rFonts w:hint="eastAsia" w:hAnsi="宋体" w:cs="宋体"/>
          <w:kern w:val="2"/>
          <w:szCs w:val="21"/>
          <w:highlight w:val="none"/>
          <w:lang w:val="en-US" w:eastAsia="zh-CN"/>
        </w:rPr>
        <w:t>VI</w:t>
      </w:r>
      <w:r>
        <w:rPr>
          <w:rFonts w:hint="eastAsia" w:hAnsi="宋体" w:cs="宋体"/>
          <w:kern w:val="2"/>
          <w:szCs w:val="21"/>
          <w:highlight w:val="none"/>
          <w:lang w:eastAsia="zh-CN"/>
        </w:rPr>
        <w:t>：</w:t>
      </w:r>
      <w:r>
        <w:rPr>
          <w:rFonts w:hint="eastAsia" w:hAnsi="宋体" w:cs="宋体"/>
          <w:kern w:val="2"/>
          <w:szCs w:val="21"/>
          <w:highlight w:val="none"/>
          <w:lang w:val="en-US" w:eastAsia="zh-CN"/>
        </w:rPr>
        <w:t>视觉识别系统</w:t>
      </w:r>
      <w:r>
        <w:rPr>
          <w:rFonts w:hint="eastAsia" w:hAnsi="宋体" w:cs="宋体"/>
          <w:kern w:val="2"/>
          <w:szCs w:val="21"/>
          <w:highlight w:val="none"/>
          <w:lang w:eastAsia="zh-CN"/>
        </w:rPr>
        <w:t>（</w:t>
      </w:r>
      <w:r>
        <w:rPr>
          <w:rFonts w:hint="eastAsia" w:hAnsi="宋体" w:cs="宋体"/>
          <w:kern w:val="2"/>
          <w:szCs w:val="21"/>
          <w:highlight w:val="none"/>
          <w:lang w:val="en-US" w:eastAsia="zh-CN"/>
        </w:rPr>
        <w:t>V</w:t>
      </w:r>
      <w:r>
        <w:rPr>
          <w:rFonts w:hint="eastAsia" w:hAnsi="宋体" w:cs="宋体"/>
          <w:kern w:val="2"/>
          <w:szCs w:val="21"/>
          <w:highlight w:val="none"/>
        </w:rPr>
        <w:t xml:space="preserve">isual </w:t>
      </w:r>
      <w:r>
        <w:rPr>
          <w:rFonts w:hint="eastAsia" w:hAnsi="宋体" w:cs="宋体"/>
          <w:kern w:val="2"/>
          <w:szCs w:val="21"/>
          <w:highlight w:val="none"/>
          <w:lang w:val="en-US" w:eastAsia="zh-CN"/>
        </w:rPr>
        <w:t>I</w:t>
      </w:r>
      <w:r>
        <w:rPr>
          <w:rFonts w:hint="eastAsia" w:hAnsi="宋体" w:cs="宋体"/>
          <w:kern w:val="2"/>
          <w:szCs w:val="21"/>
          <w:highlight w:val="none"/>
        </w:rPr>
        <w:t>dentity</w:t>
      </w:r>
      <w:r>
        <w:rPr>
          <w:rFonts w:hint="eastAsia" w:hAnsi="宋体" w:cs="宋体"/>
          <w:kern w:val="2"/>
          <w:szCs w:val="21"/>
          <w:highlight w:val="none"/>
          <w:lang w:eastAsia="zh-CN"/>
        </w:rPr>
        <w:t>）</w:t>
      </w:r>
    </w:p>
    <w:p>
      <w:pPr>
        <w:pStyle w:val="31"/>
        <w:spacing w:line="360" w:lineRule="auto"/>
        <w:rPr>
          <w:rFonts w:hint="default" w:hAnsi="宋体" w:cs="宋体"/>
          <w:kern w:val="2"/>
          <w:szCs w:val="21"/>
          <w:highlight w:val="none"/>
          <w:lang w:val="en-US" w:eastAsia="zh-CN"/>
        </w:rPr>
      </w:pPr>
    </w:p>
    <w:p>
      <w:pPr>
        <w:pStyle w:val="33"/>
        <w:spacing w:before="312" w:after="312" w:line="360" w:lineRule="auto"/>
        <w:rPr>
          <w:highlight w:val="none"/>
        </w:rPr>
      </w:pPr>
      <w:bookmarkStart w:id="64" w:name="_Toc16875"/>
      <w:r>
        <w:rPr>
          <w:rFonts w:hint="eastAsia"/>
          <w:highlight w:val="none"/>
        </w:rPr>
        <w:t>ETC VI 总原则</w:t>
      </w:r>
      <w:bookmarkEnd w:id="64"/>
    </w:p>
    <w:p>
      <w:pPr>
        <w:pStyle w:val="31"/>
        <w:spacing w:line="360" w:lineRule="auto"/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应</w:t>
      </w:r>
      <w:r>
        <w:rPr>
          <w:rFonts w:hint="eastAsia"/>
          <w:highlight w:val="none"/>
        </w:rPr>
        <w:t>综合考虑当今停车场（库）场地设施现状、通行环境现状、业务现状、交通</w:t>
      </w:r>
      <w:r>
        <w:rPr>
          <w:rFonts w:hint="eastAsia"/>
          <w:highlight w:val="none"/>
          <w:lang w:val="en-US" w:eastAsia="zh-CN"/>
        </w:rPr>
        <w:t>标志</w:t>
      </w:r>
      <w:r>
        <w:rPr>
          <w:rFonts w:hint="eastAsia"/>
          <w:highlight w:val="none"/>
        </w:rPr>
        <w:t>规范及城市停车整体发展规划等关键因素，制定ETC VI</w:t>
      </w:r>
      <w:r>
        <w:rPr>
          <w:rFonts w:hint="eastAsia"/>
          <w:highlight w:val="none"/>
          <w:lang w:val="en-US" w:eastAsia="zh-CN"/>
        </w:rPr>
        <w:t>标志</w:t>
      </w:r>
      <w:r>
        <w:rPr>
          <w:rFonts w:hint="eastAsia"/>
          <w:highlight w:val="none"/>
        </w:rPr>
        <w:t>类型、</w:t>
      </w:r>
      <w:r>
        <w:rPr>
          <w:rFonts w:hint="eastAsia"/>
          <w:highlight w:val="none"/>
          <w:lang w:val="en-US" w:eastAsia="zh-CN"/>
        </w:rPr>
        <w:t>标志</w:t>
      </w:r>
      <w:r>
        <w:rPr>
          <w:rFonts w:hint="eastAsia"/>
          <w:highlight w:val="none"/>
        </w:rPr>
        <w:t>形态、</w:t>
      </w:r>
      <w:r>
        <w:rPr>
          <w:rFonts w:hint="eastAsia"/>
          <w:highlight w:val="none"/>
          <w:lang w:val="en-US" w:eastAsia="zh-CN"/>
        </w:rPr>
        <w:t>标志</w:t>
      </w:r>
      <w:r>
        <w:rPr>
          <w:rFonts w:hint="eastAsia"/>
          <w:highlight w:val="none"/>
        </w:rPr>
        <w:t>内容、</w:t>
      </w:r>
      <w:r>
        <w:rPr>
          <w:rFonts w:hint="eastAsia"/>
          <w:highlight w:val="none"/>
          <w:lang w:val="en-US" w:eastAsia="zh-CN"/>
        </w:rPr>
        <w:t>标志</w:t>
      </w:r>
      <w:r>
        <w:rPr>
          <w:rFonts w:hint="eastAsia"/>
          <w:highlight w:val="none"/>
        </w:rPr>
        <w:t>尺寸、</w:t>
      </w:r>
      <w:r>
        <w:rPr>
          <w:rFonts w:hint="eastAsia"/>
          <w:highlight w:val="none"/>
          <w:lang w:val="en-US" w:eastAsia="zh-CN"/>
        </w:rPr>
        <w:t>标志</w:t>
      </w:r>
      <w:r>
        <w:rPr>
          <w:rFonts w:hint="eastAsia"/>
          <w:highlight w:val="none"/>
        </w:rPr>
        <w:t>材质</w:t>
      </w:r>
      <w:r>
        <w:rPr>
          <w:rFonts w:hint="eastAsia"/>
          <w:highlight w:val="none"/>
          <w:lang w:val="en-US" w:eastAsia="zh-CN"/>
        </w:rPr>
        <w:t>和标志</w:t>
      </w:r>
      <w:r>
        <w:rPr>
          <w:rFonts w:hint="eastAsia"/>
          <w:highlight w:val="none"/>
        </w:rPr>
        <w:t>部署位置关键要素指标，生成多套备选方案从而满足绝大</w:t>
      </w:r>
      <w:r>
        <w:rPr>
          <w:rFonts w:hint="eastAsia"/>
          <w:highlight w:val="none"/>
          <w:lang w:val="en-US" w:eastAsia="zh-CN"/>
        </w:rPr>
        <w:t>多</w:t>
      </w:r>
      <w:r>
        <w:rPr>
          <w:rFonts w:hint="eastAsia"/>
          <w:highlight w:val="none"/>
        </w:rPr>
        <w:t>数停车场（库）应用场景需求。</w:t>
      </w:r>
    </w:p>
    <w:p>
      <w:pPr>
        <w:spacing w:line="360" w:lineRule="auto"/>
        <w:ind w:firstLine="420" w:firstLineChars="200"/>
        <w:rPr>
          <w:rFonts w:hint="eastAsia"/>
          <w:highlight w:val="none"/>
        </w:rPr>
      </w:pPr>
      <w:r>
        <w:rPr>
          <w:rFonts w:hint="eastAsia"/>
          <w:highlight w:val="none"/>
        </w:rPr>
        <w:t>各停车场（库）应结合自身场地情况，</w:t>
      </w:r>
      <w:r>
        <w:rPr>
          <w:rFonts w:hint="eastAsia"/>
          <w:highlight w:val="none"/>
          <w:lang w:val="en-US" w:eastAsia="zh-CN"/>
        </w:rPr>
        <w:t>依据</w:t>
      </w:r>
      <w:r>
        <w:rPr>
          <w:rFonts w:hint="eastAsia"/>
          <w:highlight w:val="none"/>
          <w:lang w:eastAsia="zh-CN"/>
        </w:rPr>
        <w:t>本文件标志</w:t>
      </w:r>
      <w:r>
        <w:rPr>
          <w:rFonts w:hint="eastAsia"/>
          <w:highlight w:val="none"/>
        </w:rPr>
        <w:t>外观标准要求，以标牌</w:t>
      </w:r>
      <w:r>
        <w:rPr>
          <w:rFonts w:hint="eastAsia"/>
          <w:highlight w:val="none"/>
          <w:lang w:val="en-US" w:eastAsia="zh-CN"/>
        </w:rPr>
        <w:t>和</w:t>
      </w:r>
      <w:r>
        <w:rPr>
          <w:rFonts w:hint="eastAsia"/>
          <w:highlight w:val="none"/>
        </w:rPr>
        <w:t>灯箱等不同载体</w:t>
      </w:r>
      <w:r>
        <w:rPr>
          <w:rFonts w:hint="eastAsia"/>
          <w:highlight w:val="none"/>
          <w:lang w:val="en-US" w:eastAsia="zh-CN"/>
        </w:rPr>
        <w:t>制作标志实体</w:t>
      </w:r>
      <w:r>
        <w:rPr>
          <w:rFonts w:hint="eastAsia"/>
          <w:highlight w:val="none"/>
        </w:rPr>
        <w:t>，</w:t>
      </w:r>
      <w:r>
        <w:rPr>
          <w:rFonts w:hint="eastAsia"/>
          <w:highlight w:val="none"/>
          <w:lang w:val="en-US" w:eastAsia="zh-CN"/>
        </w:rPr>
        <w:t>标志应使用本文件要求的颜色</w:t>
      </w:r>
      <w:r>
        <w:rPr>
          <w:rFonts w:hint="eastAsia"/>
          <w:highlight w:val="none"/>
        </w:rPr>
        <w:t>，</w:t>
      </w:r>
      <w:r>
        <w:rPr>
          <w:rFonts w:hint="eastAsia"/>
          <w:highlight w:val="none"/>
          <w:lang w:val="en-US" w:eastAsia="zh-CN"/>
        </w:rPr>
        <w:t>标志</w:t>
      </w:r>
      <w:r>
        <w:rPr>
          <w:rFonts w:hint="eastAsia"/>
          <w:highlight w:val="none"/>
        </w:rPr>
        <w:t>尺寸可以</w:t>
      </w:r>
      <w:r>
        <w:rPr>
          <w:rFonts w:hint="eastAsia"/>
          <w:highlight w:val="none"/>
          <w:lang w:val="en-US" w:eastAsia="zh-CN"/>
        </w:rPr>
        <w:t>依据</w:t>
      </w:r>
      <w:r>
        <w:rPr>
          <w:rFonts w:hint="eastAsia"/>
          <w:highlight w:val="none"/>
          <w:lang w:eastAsia="zh-CN"/>
        </w:rPr>
        <w:t>本文件</w:t>
      </w:r>
      <w:r>
        <w:rPr>
          <w:rFonts w:hint="eastAsia"/>
          <w:highlight w:val="none"/>
        </w:rPr>
        <w:t>要求做等比例缩放。</w:t>
      </w:r>
    </w:p>
    <w:p>
      <w:pPr>
        <w:pStyle w:val="33"/>
        <w:spacing w:before="312" w:after="312" w:line="360" w:lineRule="auto"/>
        <w:rPr>
          <w:highlight w:val="none"/>
        </w:rPr>
      </w:pPr>
      <w:bookmarkStart w:id="65" w:name="_Toc18459"/>
      <w:r>
        <w:rPr>
          <w:rFonts w:hint="eastAsia"/>
          <w:highlight w:val="none"/>
        </w:rPr>
        <w:t>ETC VI 基础元素</w:t>
      </w:r>
      <w:bookmarkEnd w:id="65"/>
    </w:p>
    <w:p>
      <w:pPr>
        <w:pStyle w:val="34"/>
        <w:spacing w:before="156" w:after="156" w:line="360" w:lineRule="auto"/>
        <w:rPr>
          <w:szCs w:val="24"/>
          <w:highlight w:val="none"/>
        </w:rPr>
      </w:pPr>
      <w:bookmarkStart w:id="66" w:name="_Toc1910"/>
      <w:r>
        <w:rPr>
          <w:rFonts w:hint="eastAsia"/>
          <w:szCs w:val="24"/>
          <w:highlight w:val="none"/>
          <w:lang w:val="en-US" w:eastAsia="zh-CN"/>
        </w:rPr>
        <w:t>识别</w:t>
      </w:r>
      <w:r>
        <w:rPr>
          <w:rFonts w:hint="eastAsia"/>
          <w:szCs w:val="24"/>
          <w:highlight w:val="none"/>
        </w:rPr>
        <w:t>标志内容</w:t>
      </w:r>
      <w:bookmarkEnd w:id="66"/>
    </w:p>
    <w:p>
      <w:pPr>
        <w:spacing w:after="120" w:line="360" w:lineRule="auto"/>
        <w:ind w:firstLine="480"/>
        <w:rPr>
          <w:rFonts w:hint="eastAsia" w:ascii="仿宋" w:hAnsi="仿宋"/>
          <w:highlight w:val="none"/>
          <w:lang w:eastAsia="zh-CN"/>
        </w:rPr>
      </w:pPr>
      <w:r>
        <w:rPr>
          <w:rFonts w:hint="eastAsia" w:ascii="仿宋" w:hAnsi="仿宋"/>
          <w:highlight w:val="none"/>
          <w:lang w:val="en-US" w:eastAsia="zh-CN"/>
        </w:rPr>
        <w:t>识别</w:t>
      </w:r>
      <w:r>
        <w:rPr>
          <w:rFonts w:ascii="仿宋" w:hAnsi="仿宋"/>
          <w:highlight w:val="none"/>
        </w:rPr>
        <w:t>标志</w:t>
      </w:r>
      <w:r>
        <w:rPr>
          <w:rFonts w:hint="eastAsia" w:ascii="仿宋" w:hAnsi="仿宋"/>
          <w:highlight w:val="none"/>
          <w:lang w:val="en-US" w:eastAsia="zh-CN"/>
        </w:rPr>
        <w:t>应能展现辽宁ETC机构形象</w:t>
      </w:r>
      <w:r>
        <w:rPr>
          <w:rFonts w:ascii="仿宋" w:hAnsi="仿宋"/>
          <w:highlight w:val="none"/>
        </w:rPr>
        <w:t>，</w:t>
      </w:r>
      <w:r>
        <w:rPr>
          <w:rFonts w:hint="eastAsia" w:ascii="仿宋" w:hAnsi="仿宋"/>
          <w:highlight w:val="none"/>
          <w:lang w:val="en-US" w:eastAsia="zh-CN"/>
        </w:rPr>
        <w:t>应符合本文件</w:t>
      </w:r>
      <w:r>
        <w:rPr>
          <w:rFonts w:ascii="仿宋" w:hAnsi="仿宋"/>
          <w:highlight w:val="none"/>
        </w:rPr>
        <w:t>的相关规定来使用标志</w:t>
      </w:r>
      <w:r>
        <w:rPr>
          <w:rFonts w:hint="eastAsia" w:ascii="仿宋" w:hAnsi="仿宋"/>
          <w:highlight w:val="none"/>
          <w:lang w:eastAsia="zh-CN"/>
        </w:rPr>
        <w:t>。</w:t>
      </w:r>
    </w:p>
    <w:p>
      <w:pPr>
        <w:spacing w:after="120" w:line="360" w:lineRule="auto"/>
        <w:ind w:firstLine="480"/>
        <w:rPr>
          <w:rFonts w:hint="eastAsia" w:ascii="仿宋" w:hAnsi="仿宋"/>
          <w:highlight w:val="none"/>
          <w:lang w:val="en-US" w:eastAsia="zh-CN"/>
        </w:rPr>
      </w:pPr>
      <w:r>
        <w:rPr>
          <w:rFonts w:hint="eastAsia" w:ascii="仿宋" w:hAnsi="仿宋"/>
          <w:highlight w:val="none"/>
          <w:lang w:val="en-US" w:eastAsia="zh-CN"/>
        </w:rPr>
        <w:t>识别标志内容应体现标志的用途，不应显示无关内容。</w:t>
      </w:r>
    </w:p>
    <w:p>
      <w:pPr>
        <w:spacing w:after="120" w:line="360" w:lineRule="auto"/>
        <w:ind w:firstLine="480"/>
        <w:rPr>
          <w:rFonts w:hint="eastAsia" w:ascii="仿宋" w:hAnsi="仿宋"/>
          <w:highlight w:val="none"/>
          <w:lang w:val="en-US" w:eastAsia="zh-CN"/>
        </w:rPr>
      </w:pPr>
      <w:r>
        <w:rPr>
          <w:rFonts w:hint="eastAsia" w:ascii="仿宋" w:hAnsi="仿宋"/>
          <w:highlight w:val="none"/>
          <w:lang w:val="en-US" w:eastAsia="zh-CN"/>
        </w:rPr>
        <w:t>识别标志内容应清晰、简洁、突出重点。</w:t>
      </w:r>
    </w:p>
    <w:p>
      <w:pPr>
        <w:spacing w:after="120" w:line="360" w:lineRule="auto"/>
        <w:ind w:firstLine="480"/>
        <w:rPr>
          <w:rFonts w:hint="eastAsia" w:ascii="Arial" w:eastAsia="宋体"/>
          <w:highlight w:val="none"/>
          <w:lang w:eastAsia="zh-CN"/>
        </w:rPr>
      </w:pPr>
      <w:r>
        <w:rPr>
          <w:rFonts w:hint="eastAsia" w:ascii="仿宋" w:hAnsi="仿宋"/>
          <w:highlight w:val="none"/>
          <w:lang w:val="en-US" w:eastAsia="zh-CN"/>
        </w:rPr>
        <w:t>识别标志内容</w:t>
      </w:r>
      <w:r>
        <w:rPr>
          <w:rFonts w:hint="eastAsia" w:ascii="仿宋" w:hAnsi="仿宋"/>
          <w:highlight w:val="none"/>
        </w:rPr>
        <w:t>如图</w:t>
      </w:r>
      <w:r>
        <w:rPr>
          <w:rFonts w:hint="eastAsia"/>
          <w:highlight w:val="none"/>
        </w:rPr>
        <w:t>1</w:t>
      </w:r>
      <w:r>
        <w:rPr>
          <w:rFonts w:hint="eastAsia" w:ascii="仿宋" w:hAnsi="仿宋"/>
          <w:highlight w:val="none"/>
        </w:rPr>
        <w:t>所示</w:t>
      </w:r>
      <w:r>
        <w:rPr>
          <w:rFonts w:hint="eastAsia" w:ascii="仿宋" w:hAnsi="仿宋"/>
          <w:highlight w:val="none"/>
          <w:lang w:eastAsia="zh-CN"/>
        </w:rPr>
        <w:t>。</w:t>
      </w:r>
    </w:p>
    <w:p>
      <w:pPr>
        <w:spacing w:after="120" w:line="36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0" distR="0">
            <wp:extent cx="2647315" cy="1318260"/>
            <wp:effectExtent l="0" t="0" r="63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7315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t xml:space="preserve"> </w:t>
      </w:r>
    </w:p>
    <w:p>
      <w:pPr>
        <w:spacing w:after="312" w:afterLines="100" w:line="360" w:lineRule="auto"/>
        <w:ind w:firstLine="482"/>
        <w:jc w:val="center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图1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标志内容示意图</w:t>
      </w:r>
    </w:p>
    <w:p>
      <w:pPr>
        <w:pStyle w:val="34"/>
        <w:spacing w:before="156" w:after="156" w:line="360" w:lineRule="auto"/>
        <w:rPr>
          <w:szCs w:val="24"/>
          <w:highlight w:val="none"/>
        </w:rPr>
      </w:pPr>
      <w:bookmarkStart w:id="67" w:name="_Toc21650"/>
      <w:r>
        <w:rPr>
          <w:rFonts w:hint="eastAsia"/>
          <w:szCs w:val="24"/>
          <w:highlight w:val="none"/>
        </w:rPr>
        <w:t>标志方格坐标制作图</w:t>
      </w:r>
      <w:bookmarkEnd w:id="67"/>
    </w:p>
    <w:p>
      <w:pPr>
        <w:spacing w:after="120" w:line="360" w:lineRule="auto"/>
        <w:ind w:firstLine="480"/>
        <w:rPr>
          <w:rFonts w:hint="eastAsia" w:ascii="Arial" w:eastAsia="宋体"/>
          <w:highlight w:val="none"/>
          <w:lang w:eastAsia="zh-CN"/>
        </w:rPr>
      </w:pPr>
      <w:r>
        <w:rPr>
          <w:rFonts w:ascii="仿宋" w:hAnsi="仿宋"/>
          <w:highlight w:val="none"/>
        </w:rPr>
        <w:t>标志在各种环境和材质应用中，</w:t>
      </w:r>
      <w:r>
        <w:rPr>
          <w:rFonts w:hint="eastAsia" w:ascii="仿宋" w:hAnsi="仿宋"/>
          <w:highlight w:val="none"/>
          <w:lang w:val="en-US" w:eastAsia="zh-CN"/>
        </w:rPr>
        <w:t>应</w:t>
      </w:r>
      <w:r>
        <w:rPr>
          <w:rFonts w:ascii="仿宋" w:hAnsi="仿宋"/>
          <w:highlight w:val="none"/>
        </w:rPr>
        <w:t>突出对外形象的高度一致性。采用标准制图的方式规范标志的造型比例、结构</w:t>
      </w:r>
      <w:r>
        <w:rPr>
          <w:rFonts w:hint="eastAsia" w:ascii="仿宋" w:hAnsi="仿宋"/>
          <w:highlight w:val="none"/>
          <w:lang w:val="en-US" w:eastAsia="zh-CN"/>
        </w:rPr>
        <w:t>和</w:t>
      </w:r>
      <w:r>
        <w:rPr>
          <w:rFonts w:ascii="仿宋" w:hAnsi="仿宋"/>
          <w:highlight w:val="none"/>
        </w:rPr>
        <w:t>空间距离等位置关系</w:t>
      </w:r>
      <w:r>
        <w:rPr>
          <w:rFonts w:hint="eastAsia" w:ascii="仿宋" w:hAnsi="仿宋"/>
          <w:highlight w:val="none"/>
          <w:lang w:eastAsia="zh-CN"/>
        </w:rPr>
        <w:t>。</w:t>
      </w:r>
      <w:r>
        <w:rPr>
          <w:rFonts w:hint="eastAsia" w:ascii="仿宋" w:hAnsi="仿宋"/>
          <w:highlight w:val="none"/>
          <w:lang w:val="en-US" w:eastAsia="zh-CN"/>
        </w:rPr>
        <w:t>如需重新绘制标志，应按照</w:t>
      </w:r>
      <w:r>
        <w:rPr>
          <w:rFonts w:hint="eastAsia" w:ascii="仿宋" w:hAnsi="仿宋"/>
          <w:highlight w:val="none"/>
        </w:rPr>
        <w:t>图</w:t>
      </w:r>
      <w:r>
        <w:rPr>
          <w:highlight w:val="none"/>
        </w:rPr>
        <w:t>2</w:t>
      </w:r>
      <w:r>
        <w:rPr>
          <w:rFonts w:hint="eastAsia"/>
          <w:highlight w:val="none"/>
          <w:lang w:val="en-US" w:eastAsia="zh-CN"/>
        </w:rPr>
        <w:t>的标准制图执行</w:t>
      </w:r>
      <w:r>
        <w:rPr>
          <w:rFonts w:hint="eastAsia" w:ascii="仿宋" w:hAnsi="仿宋"/>
          <w:highlight w:val="none"/>
          <w:lang w:eastAsia="zh-CN"/>
        </w:rPr>
        <w:t>。</w:t>
      </w:r>
    </w:p>
    <w:p>
      <w:pPr>
        <w:spacing w:after="120" w:line="36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0" distR="0">
            <wp:extent cx="3657600" cy="347662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t xml:space="preserve"> </w:t>
      </w:r>
    </w:p>
    <w:p>
      <w:pPr>
        <w:spacing w:after="312" w:afterLines="100" w:line="360" w:lineRule="auto"/>
        <w:ind w:firstLine="482"/>
        <w:jc w:val="center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图2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标志方格坐标制作图示意图</w:t>
      </w:r>
    </w:p>
    <w:p>
      <w:pPr>
        <w:pStyle w:val="34"/>
        <w:spacing w:before="156" w:after="156" w:line="360" w:lineRule="auto"/>
        <w:rPr>
          <w:szCs w:val="24"/>
          <w:highlight w:val="none"/>
        </w:rPr>
      </w:pPr>
      <w:bookmarkStart w:id="68" w:name="_Toc2276"/>
      <w:r>
        <w:rPr>
          <w:rFonts w:hint="eastAsia"/>
          <w:szCs w:val="24"/>
          <w:highlight w:val="none"/>
          <w:lang w:val="en-US" w:eastAsia="zh-CN"/>
        </w:rPr>
        <w:t>标志全称</w:t>
      </w:r>
      <w:r>
        <w:rPr>
          <w:szCs w:val="24"/>
          <w:highlight w:val="none"/>
        </w:rPr>
        <w:t>方格坐标制图</w:t>
      </w:r>
      <w:bookmarkEnd w:id="68"/>
    </w:p>
    <w:p>
      <w:pPr>
        <w:spacing w:after="120" w:line="360" w:lineRule="auto"/>
        <w:ind w:firstLine="480"/>
        <w:rPr>
          <w:rFonts w:hint="eastAsia" w:ascii="Arial" w:eastAsia="宋体"/>
          <w:highlight w:val="none"/>
          <w:lang w:eastAsia="zh-CN"/>
        </w:rPr>
      </w:pPr>
      <w:r>
        <w:rPr>
          <w:rFonts w:ascii="仿宋" w:hAnsi="仿宋"/>
          <w:highlight w:val="none"/>
        </w:rPr>
        <w:t>标志</w:t>
      </w:r>
      <w:r>
        <w:rPr>
          <w:rFonts w:hint="eastAsia" w:ascii="仿宋" w:hAnsi="仿宋"/>
          <w:highlight w:val="none"/>
          <w:lang w:val="en-US" w:eastAsia="zh-CN"/>
        </w:rPr>
        <w:t>全称</w:t>
      </w:r>
      <w:r>
        <w:rPr>
          <w:rFonts w:ascii="仿宋" w:hAnsi="仿宋"/>
          <w:highlight w:val="none"/>
        </w:rPr>
        <w:t>在各种环境和材质应用中，</w:t>
      </w:r>
      <w:r>
        <w:rPr>
          <w:rFonts w:hint="eastAsia" w:ascii="仿宋" w:hAnsi="仿宋"/>
          <w:highlight w:val="none"/>
          <w:lang w:val="en-US" w:eastAsia="zh-CN"/>
        </w:rPr>
        <w:t>应</w:t>
      </w:r>
      <w:r>
        <w:rPr>
          <w:rFonts w:ascii="仿宋" w:hAnsi="仿宋"/>
          <w:highlight w:val="none"/>
        </w:rPr>
        <w:t>突出对外形象的高度一致性。采用标准制图的方式规范标志的造型比例、结构</w:t>
      </w:r>
      <w:r>
        <w:rPr>
          <w:rFonts w:hint="eastAsia" w:ascii="仿宋" w:hAnsi="仿宋"/>
          <w:highlight w:val="none"/>
          <w:lang w:val="en-US" w:eastAsia="zh-CN"/>
        </w:rPr>
        <w:t>和</w:t>
      </w:r>
      <w:r>
        <w:rPr>
          <w:rFonts w:ascii="仿宋" w:hAnsi="仿宋"/>
          <w:highlight w:val="none"/>
        </w:rPr>
        <w:t>空间距离等位置关系。</w:t>
      </w:r>
      <w:r>
        <w:rPr>
          <w:rFonts w:hint="eastAsia" w:ascii="仿宋" w:hAnsi="仿宋"/>
          <w:highlight w:val="none"/>
          <w:lang w:val="en-US" w:eastAsia="zh-CN"/>
        </w:rPr>
        <w:t>如需重新绘制标志，应按照</w:t>
      </w:r>
      <w:r>
        <w:rPr>
          <w:rFonts w:hint="eastAsia" w:ascii="仿宋" w:hAnsi="仿宋"/>
          <w:highlight w:val="none"/>
        </w:rPr>
        <w:t>图</w:t>
      </w:r>
      <w:r>
        <w:rPr>
          <w:highlight w:val="none"/>
        </w:rPr>
        <w:t>3</w:t>
      </w:r>
      <w:r>
        <w:rPr>
          <w:rFonts w:hint="eastAsia" w:ascii="仿宋" w:hAnsi="仿宋"/>
          <w:highlight w:val="none"/>
          <w:lang w:eastAsia="zh-CN"/>
        </w:rPr>
        <w:t>所示</w:t>
      </w:r>
      <w:r>
        <w:rPr>
          <w:rFonts w:hint="eastAsia" w:ascii="仿宋" w:hAnsi="仿宋"/>
          <w:highlight w:val="none"/>
          <w:lang w:val="en-US" w:eastAsia="zh-CN"/>
        </w:rPr>
        <w:t>的标准制图执行</w:t>
      </w:r>
      <w:r>
        <w:rPr>
          <w:rFonts w:hint="eastAsia" w:ascii="仿宋" w:hAnsi="仿宋"/>
          <w:highlight w:val="none"/>
          <w:lang w:eastAsia="zh-CN"/>
        </w:rPr>
        <w:t>。</w:t>
      </w:r>
    </w:p>
    <w:p>
      <w:pPr>
        <w:spacing w:after="120" w:line="36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0" distR="0">
            <wp:extent cx="5046345" cy="3350895"/>
            <wp:effectExtent l="0" t="0" r="1905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6345" cy="335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t xml:space="preserve"> </w:t>
      </w:r>
    </w:p>
    <w:p>
      <w:pPr>
        <w:spacing w:after="312" w:afterLines="100" w:line="360" w:lineRule="auto"/>
        <w:ind w:firstLine="482"/>
        <w:jc w:val="center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图3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全称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标志方格坐标制图示意图</w:t>
      </w:r>
    </w:p>
    <w:p>
      <w:pPr>
        <w:pStyle w:val="34"/>
        <w:spacing w:before="156" w:after="156" w:line="360" w:lineRule="auto"/>
        <w:rPr>
          <w:szCs w:val="24"/>
          <w:highlight w:val="none"/>
        </w:rPr>
      </w:pPr>
      <w:bookmarkStart w:id="69" w:name="_Toc8554"/>
      <w:r>
        <w:rPr>
          <w:szCs w:val="24"/>
          <w:highlight w:val="none"/>
        </w:rPr>
        <w:t>标准色与色值</w:t>
      </w:r>
      <w:bookmarkEnd w:id="69"/>
    </w:p>
    <w:p>
      <w:pPr>
        <w:spacing w:after="120" w:line="360" w:lineRule="auto"/>
        <w:ind w:firstLine="480"/>
        <w:rPr>
          <w:rFonts w:hint="eastAsia" w:ascii="Arial" w:eastAsia="宋体"/>
          <w:highlight w:val="none"/>
          <w:lang w:eastAsia="zh-CN"/>
        </w:rPr>
      </w:pPr>
      <w:r>
        <w:rPr>
          <w:rFonts w:ascii="仿宋" w:hAnsi="仿宋"/>
          <w:highlight w:val="none"/>
        </w:rPr>
        <w:t>色彩是除品牌</w:t>
      </w:r>
      <w:r>
        <w:rPr>
          <w:rFonts w:hint="eastAsia" w:ascii="仿宋" w:hAnsi="仿宋"/>
          <w:highlight w:val="none"/>
          <w:lang w:val="en-US" w:eastAsia="zh-CN"/>
        </w:rPr>
        <w:t>标志</w:t>
      </w:r>
      <w:r>
        <w:rPr>
          <w:rFonts w:ascii="仿宋" w:hAnsi="仿宋"/>
          <w:highlight w:val="none"/>
        </w:rPr>
        <w:t>之外最能强化品牌形象的重要设计元素，在进行品牌传播活动时，</w:t>
      </w:r>
      <w:r>
        <w:rPr>
          <w:rFonts w:hint="eastAsia" w:ascii="仿宋" w:hAnsi="仿宋"/>
          <w:highlight w:val="none"/>
          <w:lang w:val="en-US" w:eastAsia="zh-CN"/>
        </w:rPr>
        <w:t>应</w:t>
      </w:r>
      <w:r>
        <w:rPr>
          <w:rFonts w:ascii="仿宋" w:hAnsi="仿宋"/>
          <w:highlight w:val="none"/>
        </w:rPr>
        <w:t>使用</w:t>
      </w:r>
      <w:r>
        <w:rPr>
          <w:rFonts w:hint="eastAsia" w:ascii="仿宋" w:hAnsi="仿宋"/>
          <w:highlight w:val="none"/>
          <w:lang w:val="en-US" w:eastAsia="zh-CN"/>
        </w:rPr>
        <w:t>图4所示的标准</w:t>
      </w:r>
      <w:r>
        <w:rPr>
          <w:rFonts w:ascii="仿宋" w:hAnsi="仿宋"/>
          <w:highlight w:val="none"/>
        </w:rPr>
        <w:t>色彩</w:t>
      </w:r>
      <w:r>
        <w:rPr>
          <w:rFonts w:hint="eastAsia" w:ascii="仿宋" w:hAnsi="仿宋"/>
          <w:highlight w:val="none"/>
          <w:lang w:val="en-US" w:eastAsia="zh-CN"/>
        </w:rPr>
        <w:t>和色值</w:t>
      </w:r>
      <w:r>
        <w:rPr>
          <w:rFonts w:ascii="仿宋" w:hAnsi="仿宋"/>
          <w:highlight w:val="none"/>
        </w:rPr>
        <w:t>，保障</w:t>
      </w:r>
      <w:r>
        <w:rPr>
          <w:rFonts w:hint="eastAsia" w:ascii="仿宋" w:hAnsi="仿宋"/>
          <w:highlight w:val="none"/>
          <w:lang w:val="en-US" w:eastAsia="zh-CN"/>
        </w:rPr>
        <w:t>标志</w:t>
      </w:r>
      <w:r>
        <w:rPr>
          <w:rFonts w:ascii="仿宋" w:hAnsi="仿宋"/>
          <w:highlight w:val="none"/>
        </w:rPr>
        <w:t>视觉形象的一致性。</w:t>
      </w:r>
    </w:p>
    <w:p>
      <w:pPr>
        <w:spacing w:after="120" w:line="36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0" distR="0">
            <wp:extent cx="5123815" cy="2841625"/>
            <wp:effectExtent l="0" t="0" r="12065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3815" cy="284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t xml:space="preserve"> </w:t>
      </w:r>
    </w:p>
    <w:p>
      <w:pPr>
        <w:spacing w:after="312" w:afterLines="100" w:line="360" w:lineRule="auto"/>
        <w:ind w:firstLine="482"/>
        <w:jc w:val="center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图4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标准色与色值示意图</w:t>
      </w:r>
    </w:p>
    <w:p>
      <w:pPr>
        <w:pStyle w:val="34"/>
        <w:spacing w:before="156" w:after="156" w:line="360" w:lineRule="auto"/>
        <w:rPr>
          <w:szCs w:val="24"/>
          <w:highlight w:val="none"/>
        </w:rPr>
      </w:pPr>
      <w:bookmarkStart w:id="70" w:name="_Toc24090"/>
      <w:r>
        <w:rPr>
          <w:rFonts w:hint="eastAsia"/>
          <w:szCs w:val="24"/>
          <w:highlight w:val="none"/>
        </w:rPr>
        <w:t>辅助色与色值</w:t>
      </w:r>
      <w:bookmarkEnd w:id="70"/>
    </w:p>
    <w:p>
      <w:pPr>
        <w:spacing w:after="120" w:line="360" w:lineRule="auto"/>
        <w:ind w:firstLine="480"/>
        <w:rPr>
          <w:rFonts w:hint="eastAsia" w:ascii="Arial" w:eastAsia="宋体"/>
          <w:highlight w:val="none"/>
          <w:lang w:eastAsia="zh-CN"/>
        </w:rPr>
      </w:pPr>
      <w:r>
        <w:rPr>
          <w:rFonts w:ascii="仿宋" w:hAnsi="仿宋"/>
          <w:highlight w:val="none"/>
        </w:rPr>
        <w:t>辅助色</w:t>
      </w:r>
      <w:r>
        <w:rPr>
          <w:rFonts w:hint="eastAsia" w:ascii="仿宋" w:hAnsi="仿宋"/>
          <w:highlight w:val="none"/>
          <w:lang w:val="en-US" w:eastAsia="zh-CN"/>
        </w:rPr>
        <w:t>用于</w:t>
      </w:r>
      <w:r>
        <w:rPr>
          <w:rFonts w:ascii="仿宋" w:hAnsi="仿宋"/>
          <w:highlight w:val="none"/>
        </w:rPr>
        <w:t>搭配标准色使用，使</w:t>
      </w:r>
      <w:r>
        <w:rPr>
          <w:rFonts w:hint="eastAsia" w:ascii="仿宋" w:hAnsi="仿宋"/>
          <w:highlight w:val="none"/>
        </w:rPr>
        <w:t>停车场（库）</w:t>
      </w:r>
      <w:r>
        <w:rPr>
          <w:rFonts w:ascii="仿宋" w:hAnsi="仿宋"/>
          <w:highlight w:val="none"/>
        </w:rPr>
        <w:t>的</w:t>
      </w:r>
      <w:r>
        <w:rPr>
          <w:rFonts w:hint="eastAsia"/>
          <w:highlight w:val="none"/>
        </w:rPr>
        <w:t>ETC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VI</w:t>
      </w:r>
      <w:r>
        <w:rPr>
          <w:rFonts w:hint="eastAsia"/>
          <w:highlight w:val="none"/>
          <w:lang w:val="en-US" w:eastAsia="zh-CN"/>
        </w:rPr>
        <w:t>标志</w:t>
      </w:r>
      <w:r>
        <w:rPr>
          <w:rFonts w:ascii="仿宋" w:hAnsi="仿宋"/>
          <w:highlight w:val="none"/>
        </w:rPr>
        <w:t>色彩形象更加丰富和具有独特性。</w:t>
      </w:r>
      <w:r>
        <w:rPr>
          <w:rFonts w:hint="eastAsia" w:ascii="仿宋" w:hAnsi="仿宋"/>
          <w:highlight w:val="none"/>
          <w:lang w:val="en-US" w:eastAsia="zh-CN"/>
        </w:rPr>
        <w:t>应使用图5所示的辅助色与色值</w:t>
      </w:r>
      <w:r>
        <w:rPr>
          <w:rFonts w:hint="eastAsia" w:ascii="仿宋" w:hAnsi="仿宋"/>
          <w:highlight w:val="none"/>
          <w:lang w:eastAsia="zh-CN"/>
        </w:rPr>
        <w:t>。</w:t>
      </w:r>
    </w:p>
    <w:p>
      <w:pPr>
        <w:spacing w:after="120" w:line="36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0" distR="0">
            <wp:extent cx="5027930" cy="3484245"/>
            <wp:effectExtent l="0" t="0" r="1270" b="571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7930" cy="348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t xml:space="preserve"> </w:t>
      </w:r>
    </w:p>
    <w:p>
      <w:pPr>
        <w:spacing w:after="312" w:afterLines="100" w:line="360" w:lineRule="auto"/>
        <w:ind w:firstLine="482"/>
        <w:jc w:val="center"/>
        <w:rPr>
          <w:rFonts w:hint="default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图5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辅助色与色值示意图</w:t>
      </w:r>
      <w:bookmarkStart w:id="71" w:name="_Toc24881"/>
    </w:p>
    <w:p>
      <w:pPr>
        <w:pStyle w:val="34"/>
        <w:spacing w:before="156" w:after="156" w:line="360" w:lineRule="auto"/>
        <w:rPr>
          <w:szCs w:val="24"/>
          <w:highlight w:val="none"/>
        </w:rPr>
      </w:pPr>
      <w:r>
        <w:rPr>
          <w:rFonts w:hint="eastAsia"/>
          <w:szCs w:val="24"/>
          <w:highlight w:val="none"/>
        </w:rPr>
        <w:t>图形符号元素</w:t>
      </w:r>
      <w:bookmarkEnd w:id="71"/>
    </w:p>
    <w:p>
      <w:pPr>
        <w:spacing w:after="120" w:line="360" w:lineRule="auto"/>
        <w:ind w:firstLine="480"/>
        <w:rPr>
          <w:rFonts w:hint="eastAsia" w:ascii="Arial" w:eastAsia="宋体"/>
          <w:highlight w:val="none"/>
          <w:lang w:eastAsia="zh-CN"/>
        </w:rPr>
      </w:pPr>
      <w:r>
        <w:rPr>
          <w:rFonts w:hint="eastAsia" w:ascii="仿宋" w:hAnsi="仿宋"/>
          <w:highlight w:val="none"/>
          <w:lang w:val="en-US" w:eastAsia="zh-CN"/>
        </w:rPr>
        <w:t>图形符号元素应具有明确的信息传递和导向功能。图形符号元素应简洁、清晰、易懂</w:t>
      </w:r>
      <w:r>
        <w:rPr>
          <w:rFonts w:hint="eastAsia" w:ascii="仿宋" w:hAnsi="仿宋"/>
          <w:highlight w:val="none"/>
        </w:rPr>
        <w:t>。图形符号元素如图</w:t>
      </w:r>
      <w:r>
        <w:rPr>
          <w:highlight w:val="none"/>
        </w:rPr>
        <w:t>6</w:t>
      </w:r>
      <w:r>
        <w:rPr>
          <w:rFonts w:hint="eastAsia" w:ascii="仿宋" w:hAnsi="仿宋"/>
          <w:highlight w:val="none"/>
          <w:lang w:eastAsia="zh-CN"/>
        </w:rPr>
        <w:t>所示。</w:t>
      </w:r>
    </w:p>
    <w:p>
      <w:pPr>
        <w:spacing w:after="120" w:line="36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0" distR="0">
            <wp:extent cx="5484495" cy="2004695"/>
            <wp:effectExtent l="0" t="0" r="190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4495" cy="200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t xml:space="preserve"> </w:t>
      </w:r>
    </w:p>
    <w:p>
      <w:pPr>
        <w:spacing w:after="312" w:afterLines="100" w:line="360" w:lineRule="auto"/>
        <w:ind w:firstLine="482"/>
        <w:jc w:val="center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图6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图形符号元素示意图</w:t>
      </w:r>
    </w:p>
    <w:p>
      <w:pPr>
        <w:pStyle w:val="33"/>
        <w:spacing w:before="312" w:after="312" w:line="360" w:lineRule="auto"/>
        <w:rPr>
          <w:highlight w:val="none"/>
        </w:rPr>
      </w:pPr>
      <w:bookmarkStart w:id="72" w:name="_Toc2209"/>
      <w:r>
        <w:rPr>
          <w:rFonts w:hint="eastAsia"/>
          <w:highlight w:val="none"/>
        </w:rPr>
        <w:t>ETC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VI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>标志</w:t>
      </w:r>
      <w:r>
        <w:rPr>
          <w:rFonts w:hint="eastAsia"/>
          <w:highlight w:val="none"/>
        </w:rPr>
        <w:t>分类与规格</w:t>
      </w:r>
      <w:bookmarkEnd w:id="72"/>
    </w:p>
    <w:p>
      <w:pPr>
        <w:pStyle w:val="34"/>
        <w:spacing w:before="156" w:after="156" w:line="360" w:lineRule="auto"/>
        <w:rPr>
          <w:szCs w:val="24"/>
          <w:highlight w:val="none"/>
        </w:rPr>
      </w:pPr>
      <w:bookmarkStart w:id="73" w:name="_Toc11175"/>
      <w:r>
        <w:rPr>
          <w:rFonts w:hint="eastAsia"/>
          <w:szCs w:val="24"/>
          <w:highlight w:val="none"/>
        </w:rPr>
        <w:t>闸机杆引导</w:t>
      </w:r>
      <w:bookmarkEnd w:id="73"/>
      <w:r>
        <w:rPr>
          <w:rFonts w:hint="eastAsia"/>
          <w:szCs w:val="24"/>
          <w:highlight w:val="none"/>
          <w:lang w:val="en-US" w:eastAsia="zh-CN"/>
        </w:rPr>
        <w:t>标志</w:t>
      </w:r>
    </w:p>
    <w:p>
      <w:pPr>
        <w:spacing w:after="120" w:line="360" w:lineRule="auto"/>
        <w:ind w:firstLine="480"/>
        <w:rPr>
          <w:rFonts w:hint="eastAsia" w:ascii="Arial" w:eastAsia="宋体"/>
          <w:highlight w:val="none"/>
          <w:lang w:eastAsia="zh-CN"/>
        </w:rPr>
      </w:pPr>
      <w:r>
        <w:rPr>
          <w:rFonts w:hint="eastAsia" w:ascii="仿宋" w:hAnsi="仿宋"/>
          <w:highlight w:val="none"/>
        </w:rPr>
        <w:t>尺寸：</w:t>
      </w:r>
      <w:r>
        <w:rPr>
          <w:rFonts w:hint="eastAsia" w:ascii="宋体" w:hAnsi="宋体" w:eastAsia="宋体" w:cs="宋体"/>
          <w:highlight w:val="none"/>
        </w:rPr>
        <w:t>3500</w:t>
      </w:r>
      <w:r>
        <w:rPr>
          <w:rFonts w:hint="eastAsia" w:ascii="宋体" w:hAnsi="宋体" w:cs="宋体"/>
          <w:highlight w:val="none"/>
          <w:lang w:val="en-US" w:eastAsia="zh-CN"/>
        </w:rPr>
        <w:t xml:space="preserve"> mm×</w:t>
      </w:r>
      <w:r>
        <w:rPr>
          <w:rFonts w:hint="eastAsia" w:ascii="宋体" w:hAnsi="宋体" w:eastAsia="宋体" w:cs="宋体"/>
          <w:highlight w:val="none"/>
        </w:rPr>
        <w:t>90</w:t>
      </w:r>
      <w:r>
        <w:rPr>
          <w:rFonts w:hint="eastAsia" w:ascii="宋体" w:hAnsi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</w:rPr>
        <w:t>mm</w:t>
      </w:r>
      <w:r>
        <w:rPr>
          <w:rFonts w:hint="eastAsia" w:ascii="宋体" w:hAnsi="宋体" w:cs="宋体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highlight w:val="none"/>
        </w:rPr>
        <w:t>材质：</w:t>
      </w:r>
      <w:r>
        <w:rPr>
          <w:rFonts w:hint="eastAsia" w:ascii="仿宋" w:hAnsi="仿宋"/>
          <w:highlight w:val="none"/>
        </w:rPr>
        <w:t>白钢烤漆</w:t>
      </w:r>
      <w:r>
        <w:rPr>
          <w:rFonts w:hint="eastAsia" w:ascii="仿宋" w:hAnsi="仿宋"/>
          <w:highlight w:val="none"/>
          <w:lang w:eastAsia="zh-CN"/>
        </w:rPr>
        <w:t>。</w:t>
      </w:r>
      <w:r>
        <w:rPr>
          <w:rFonts w:hint="eastAsia" w:ascii="仿宋" w:hAnsi="仿宋"/>
          <w:highlight w:val="none"/>
        </w:rPr>
        <w:t>色彩：</w:t>
      </w:r>
      <w:r>
        <w:rPr>
          <w:rFonts w:hint="eastAsia" w:ascii="仿宋" w:hAnsi="仿宋"/>
          <w:highlight w:val="none"/>
          <w:lang w:val="en-US" w:eastAsia="zh-CN"/>
        </w:rPr>
        <w:t>应按照6.4、6.5</w:t>
      </w:r>
      <w:r>
        <w:rPr>
          <w:rFonts w:hint="eastAsia" w:ascii="仿宋" w:hAnsi="仿宋"/>
          <w:highlight w:val="none"/>
        </w:rPr>
        <w:t>规定</w:t>
      </w:r>
      <w:r>
        <w:rPr>
          <w:rFonts w:hint="eastAsia" w:ascii="仿宋" w:hAnsi="仿宋"/>
          <w:highlight w:val="none"/>
          <w:lang w:val="en-US" w:eastAsia="zh-CN"/>
        </w:rPr>
        <w:t>的</w:t>
      </w:r>
      <w:r>
        <w:rPr>
          <w:rFonts w:hint="eastAsia" w:ascii="仿宋" w:hAnsi="仿宋"/>
          <w:highlight w:val="none"/>
        </w:rPr>
        <w:t>标准色</w:t>
      </w:r>
      <w:r>
        <w:rPr>
          <w:rFonts w:hint="eastAsia" w:ascii="仿宋" w:hAnsi="仿宋"/>
          <w:highlight w:val="none"/>
          <w:lang w:val="en-US" w:eastAsia="zh-CN"/>
        </w:rPr>
        <w:t>和</w:t>
      </w:r>
      <w:r>
        <w:rPr>
          <w:rFonts w:hint="eastAsia" w:ascii="仿宋" w:hAnsi="仿宋"/>
          <w:highlight w:val="none"/>
        </w:rPr>
        <w:t>辅助色应用</w:t>
      </w:r>
      <w:r>
        <w:rPr>
          <w:rFonts w:hint="eastAsia" w:ascii="仿宋" w:hAnsi="仿宋"/>
          <w:highlight w:val="none"/>
          <w:lang w:eastAsia="zh-CN"/>
        </w:rPr>
        <w:t>。</w:t>
      </w:r>
      <w:r>
        <w:rPr>
          <w:rFonts w:hint="eastAsia" w:ascii="仿宋" w:hAnsi="仿宋"/>
          <w:highlight w:val="none"/>
          <w:lang w:val="en-US" w:eastAsia="zh-CN"/>
        </w:rPr>
        <w:t>闸机杆引导标志</w:t>
      </w:r>
      <w:r>
        <w:rPr>
          <w:rFonts w:hint="eastAsia" w:ascii="仿宋" w:hAnsi="仿宋"/>
          <w:highlight w:val="none"/>
        </w:rPr>
        <w:t>设计标准如图</w:t>
      </w:r>
      <w:r>
        <w:rPr>
          <w:highlight w:val="none"/>
        </w:rPr>
        <w:t>7</w:t>
      </w:r>
      <w:r>
        <w:rPr>
          <w:rFonts w:hint="eastAsia" w:ascii="仿宋" w:hAnsi="仿宋"/>
          <w:highlight w:val="none"/>
          <w:lang w:eastAsia="zh-CN"/>
        </w:rPr>
        <w:t>所示。</w:t>
      </w:r>
    </w:p>
    <w:p>
      <w:pPr>
        <w:spacing w:after="120" w:line="36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0" distR="0">
            <wp:extent cx="5127625" cy="2281555"/>
            <wp:effectExtent l="0" t="0" r="8255" b="444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7625" cy="228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t xml:space="preserve"> </w:t>
      </w:r>
    </w:p>
    <w:p>
      <w:pPr>
        <w:spacing w:after="312" w:afterLines="100" w:line="360" w:lineRule="auto"/>
        <w:ind w:firstLine="482"/>
        <w:jc w:val="center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图7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闸机杆引导</w:t>
      </w: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标志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示意图</w:t>
      </w:r>
    </w:p>
    <w:p>
      <w:pPr>
        <w:pStyle w:val="34"/>
        <w:spacing w:before="156" w:after="156" w:line="360" w:lineRule="auto"/>
        <w:rPr>
          <w:szCs w:val="24"/>
          <w:highlight w:val="none"/>
        </w:rPr>
      </w:pPr>
      <w:bookmarkStart w:id="74" w:name="_Toc13384"/>
      <w:r>
        <w:rPr>
          <w:rFonts w:hint="eastAsia"/>
          <w:szCs w:val="24"/>
          <w:highlight w:val="none"/>
        </w:rPr>
        <w:t>出入口立牌</w:t>
      </w:r>
      <w:bookmarkEnd w:id="74"/>
      <w:r>
        <w:rPr>
          <w:rFonts w:hint="eastAsia"/>
          <w:szCs w:val="24"/>
          <w:highlight w:val="none"/>
          <w:lang w:val="en-US" w:eastAsia="zh-CN"/>
        </w:rPr>
        <w:t>标志</w:t>
      </w:r>
    </w:p>
    <w:p>
      <w:pPr>
        <w:spacing w:after="120" w:line="360" w:lineRule="auto"/>
        <w:ind w:firstLine="480"/>
        <w:rPr>
          <w:rFonts w:hint="eastAsia" w:ascii="Arial" w:eastAsia="宋体"/>
          <w:highlight w:val="none"/>
          <w:lang w:eastAsia="zh-CN"/>
        </w:rPr>
      </w:pPr>
      <w:r>
        <w:rPr>
          <w:rFonts w:hint="eastAsia" w:ascii="仿宋" w:hAnsi="仿宋"/>
          <w:highlight w:val="none"/>
        </w:rPr>
        <w:t>尺寸：</w:t>
      </w:r>
      <w:r>
        <w:rPr>
          <w:rFonts w:hint="eastAsia" w:ascii="宋体" w:hAnsi="宋体" w:eastAsia="宋体" w:cs="宋体"/>
          <w:highlight w:val="none"/>
        </w:rPr>
        <w:t>600</w:t>
      </w:r>
      <w:r>
        <w:rPr>
          <w:rFonts w:hint="eastAsia" w:ascii="宋体" w:hAnsi="宋体" w:cs="宋体"/>
          <w:highlight w:val="none"/>
          <w:lang w:val="en-US" w:eastAsia="zh-CN"/>
        </w:rPr>
        <w:t xml:space="preserve"> mm</w:t>
      </w:r>
      <w:r>
        <w:rPr>
          <w:rFonts w:hint="eastAsia" w:ascii="宋体" w:hAnsi="宋体" w:eastAsia="宋体" w:cs="宋体"/>
          <w:highlight w:val="none"/>
          <w:lang w:val="en-US" w:eastAsia="zh-CN"/>
        </w:rPr>
        <w:t>×</w:t>
      </w:r>
      <w:r>
        <w:rPr>
          <w:rFonts w:hint="eastAsia" w:ascii="宋体" w:hAnsi="宋体" w:eastAsia="宋体" w:cs="宋体"/>
          <w:highlight w:val="none"/>
        </w:rPr>
        <w:t>2400</w:t>
      </w:r>
      <w:r>
        <w:rPr>
          <w:rFonts w:hint="eastAsia" w:ascii="宋体" w:hAnsi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</w:rPr>
        <w:t>mm</w:t>
      </w:r>
      <w:r>
        <w:rPr>
          <w:rFonts w:hint="eastAsia" w:ascii="宋体" w:hAnsi="宋体" w:cs="宋体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highlight w:val="none"/>
        </w:rPr>
        <w:t>厚度</w:t>
      </w:r>
      <w:r>
        <w:rPr>
          <w:rFonts w:hint="eastAsia" w:ascii="宋体" w:hAnsi="宋体" w:cs="宋体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highlight w:val="none"/>
        </w:rPr>
        <w:t>100</w:t>
      </w:r>
      <w:r>
        <w:rPr>
          <w:rFonts w:hint="eastAsia" w:ascii="宋体" w:hAnsi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</w:rPr>
        <w:t>mm</w:t>
      </w:r>
      <w:r>
        <w:rPr>
          <w:rFonts w:hint="eastAsia" w:ascii="仿宋" w:hAnsi="仿宋"/>
          <w:highlight w:val="none"/>
          <w:lang w:eastAsia="zh-CN"/>
        </w:rPr>
        <w:t>。</w:t>
      </w:r>
      <w:r>
        <w:rPr>
          <w:rFonts w:hint="eastAsia" w:ascii="仿宋" w:hAnsi="仿宋"/>
          <w:highlight w:val="none"/>
        </w:rPr>
        <w:t>材质：白钢烤漆</w:t>
      </w:r>
      <w:r>
        <w:rPr>
          <w:rFonts w:hint="eastAsia" w:ascii="仿宋" w:hAnsi="仿宋"/>
          <w:highlight w:val="none"/>
          <w:lang w:eastAsia="zh-CN"/>
        </w:rPr>
        <w:t>。</w:t>
      </w:r>
      <w:r>
        <w:rPr>
          <w:rFonts w:hint="eastAsia" w:ascii="仿宋" w:hAnsi="仿宋"/>
          <w:highlight w:val="none"/>
        </w:rPr>
        <w:t>色彩：</w:t>
      </w:r>
      <w:r>
        <w:rPr>
          <w:rFonts w:hint="eastAsia" w:ascii="仿宋" w:hAnsi="仿宋"/>
          <w:highlight w:val="none"/>
          <w:lang w:val="en-US" w:eastAsia="zh-CN"/>
        </w:rPr>
        <w:t>应按照6.4、6.5</w:t>
      </w:r>
      <w:r>
        <w:rPr>
          <w:rFonts w:hint="eastAsia" w:ascii="仿宋" w:hAnsi="仿宋"/>
          <w:highlight w:val="none"/>
        </w:rPr>
        <w:t>规定</w:t>
      </w:r>
      <w:r>
        <w:rPr>
          <w:rFonts w:hint="eastAsia" w:ascii="仿宋" w:hAnsi="仿宋"/>
          <w:highlight w:val="none"/>
          <w:lang w:val="en-US" w:eastAsia="zh-CN"/>
        </w:rPr>
        <w:t>的</w:t>
      </w:r>
      <w:r>
        <w:rPr>
          <w:rFonts w:hint="eastAsia" w:ascii="仿宋" w:hAnsi="仿宋"/>
          <w:highlight w:val="none"/>
        </w:rPr>
        <w:t>标准色</w:t>
      </w:r>
      <w:r>
        <w:rPr>
          <w:rFonts w:hint="eastAsia" w:ascii="仿宋" w:hAnsi="仿宋"/>
          <w:highlight w:val="none"/>
          <w:lang w:val="en-US" w:eastAsia="zh-CN"/>
        </w:rPr>
        <w:t>和</w:t>
      </w:r>
      <w:r>
        <w:rPr>
          <w:rFonts w:hint="eastAsia" w:ascii="仿宋" w:hAnsi="仿宋"/>
          <w:highlight w:val="none"/>
        </w:rPr>
        <w:t>辅助色应用。</w:t>
      </w:r>
      <w:r>
        <w:rPr>
          <w:rFonts w:hint="eastAsia" w:ascii="仿宋" w:hAnsi="仿宋"/>
          <w:highlight w:val="none"/>
          <w:lang w:val="en-US" w:eastAsia="zh-CN"/>
        </w:rPr>
        <w:t>出入口立牌标志的</w:t>
      </w:r>
      <w:r>
        <w:rPr>
          <w:rFonts w:hint="eastAsia" w:ascii="仿宋" w:hAnsi="仿宋"/>
          <w:highlight w:val="none"/>
        </w:rPr>
        <w:t>设计标准如图</w:t>
      </w:r>
      <w:r>
        <w:rPr>
          <w:highlight w:val="none"/>
        </w:rPr>
        <w:t>8</w:t>
      </w:r>
      <w:r>
        <w:rPr>
          <w:rFonts w:hint="eastAsia" w:ascii="仿宋" w:hAnsi="仿宋"/>
          <w:highlight w:val="none"/>
          <w:lang w:eastAsia="zh-CN"/>
        </w:rPr>
        <w:t>所示。</w:t>
      </w:r>
    </w:p>
    <w:p>
      <w:pPr>
        <w:spacing w:after="120" w:line="360" w:lineRule="auto"/>
        <w:ind w:firstLine="480"/>
        <w:jc w:val="center"/>
        <w:rPr>
          <w:highlight w:val="none"/>
        </w:rPr>
      </w:pPr>
      <w:r>
        <w:rPr>
          <w:highlight w:val="none"/>
        </w:rPr>
        <w:drawing>
          <wp:inline distT="0" distB="0" distL="0" distR="0">
            <wp:extent cx="3330575" cy="3088005"/>
            <wp:effectExtent l="0" t="0" r="3175" b="1714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308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312" w:afterLines="100" w:line="360" w:lineRule="auto"/>
        <w:ind w:firstLine="482"/>
        <w:jc w:val="center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图8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出入口立牌</w:t>
      </w: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标志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示意图</w:t>
      </w:r>
    </w:p>
    <w:p>
      <w:pPr>
        <w:pStyle w:val="34"/>
        <w:spacing w:before="156" w:after="156" w:line="360" w:lineRule="auto"/>
        <w:rPr>
          <w:szCs w:val="24"/>
          <w:highlight w:val="none"/>
        </w:rPr>
      </w:pPr>
      <w:bookmarkStart w:id="75" w:name="_Toc19510"/>
      <w:r>
        <w:rPr>
          <w:rFonts w:hint="eastAsia"/>
          <w:szCs w:val="24"/>
          <w:highlight w:val="none"/>
        </w:rPr>
        <w:t>标价牌</w:t>
      </w:r>
      <w:bookmarkEnd w:id="75"/>
      <w:r>
        <w:rPr>
          <w:rFonts w:hint="eastAsia"/>
          <w:szCs w:val="24"/>
          <w:highlight w:val="none"/>
          <w:lang w:val="en-US" w:eastAsia="zh-CN"/>
        </w:rPr>
        <w:t>标志</w:t>
      </w:r>
    </w:p>
    <w:p>
      <w:pPr>
        <w:spacing w:after="120" w:line="360" w:lineRule="auto"/>
        <w:ind w:firstLine="480"/>
        <w:rPr>
          <w:rFonts w:hint="eastAsia" w:ascii="Arial" w:eastAsia="宋体"/>
          <w:highlight w:val="none"/>
          <w:lang w:eastAsia="zh-CN"/>
        </w:rPr>
      </w:pPr>
      <w:r>
        <w:rPr>
          <w:rFonts w:ascii="仿宋" w:hAnsi="仿宋"/>
          <w:highlight w:val="none"/>
        </w:rPr>
        <w:t>尺寸：</w:t>
      </w:r>
      <w:r>
        <w:rPr>
          <w:rFonts w:hint="eastAsia" w:ascii="宋体" w:hAnsi="宋体" w:eastAsia="宋体" w:cs="宋体"/>
          <w:highlight w:val="none"/>
        </w:rPr>
        <w:t>800</w:t>
      </w:r>
      <w:r>
        <w:rPr>
          <w:rFonts w:hint="eastAsia" w:ascii="宋体" w:hAnsi="宋体" w:cs="宋体"/>
          <w:highlight w:val="none"/>
          <w:lang w:val="en-US" w:eastAsia="zh-CN"/>
        </w:rPr>
        <w:t xml:space="preserve"> mm</w:t>
      </w:r>
      <w:r>
        <w:rPr>
          <w:rFonts w:hint="eastAsia" w:ascii="宋体" w:hAnsi="宋体" w:eastAsia="宋体" w:cs="宋体"/>
          <w:highlight w:val="none"/>
          <w:lang w:val="en-US" w:eastAsia="zh-CN"/>
        </w:rPr>
        <w:t>×</w:t>
      </w:r>
      <w:r>
        <w:rPr>
          <w:rFonts w:hint="eastAsia" w:ascii="宋体" w:hAnsi="宋体" w:eastAsia="宋体" w:cs="宋体"/>
          <w:highlight w:val="none"/>
        </w:rPr>
        <w:t>1200</w:t>
      </w:r>
      <w:r>
        <w:rPr>
          <w:rFonts w:hint="eastAsia" w:ascii="宋体" w:hAnsi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</w:rPr>
        <w:t>mm</w:t>
      </w:r>
      <w:r>
        <w:rPr>
          <w:rFonts w:hint="eastAsia" w:ascii="宋体" w:hAnsi="宋体" w:cs="宋体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highlight w:val="none"/>
        </w:rPr>
        <w:t>厚度</w:t>
      </w:r>
      <w:r>
        <w:rPr>
          <w:rFonts w:hint="eastAsia" w:ascii="宋体" w:hAnsi="宋体" w:cs="宋体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highlight w:val="none"/>
        </w:rPr>
        <w:t>100</w:t>
      </w:r>
      <w:r>
        <w:rPr>
          <w:rFonts w:hint="eastAsia" w:ascii="宋体" w:hAnsi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</w:rPr>
        <w:t>mm</w:t>
      </w:r>
      <w:r>
        <w:rPr>
          <w:rFonts w:hint="eastAsia" w:ascii="宋体" w:hAnsi="宋体" w:cs="宋体"/>
          <w:highlight w:val="none"/>
          <w:lang w:eastAsia="zh-CN"/>
        </w:rPr>
        <w:t>。</w:t>
      </w:r>
      <w:r>
        <w:rPr>
          <w:rFonts w:ascii="仿宋" w:hAnsi="仿宋"/>
          <w:highlight w:val="none"/>
        </w:rPr>
        <w:t>材质：白钢烤漆</w:t>
      </w:r>
      <w:r>
        <w:rPr>
          <w:rFonts w:hint="eastAsia" w:ascii="仿宋" w:hAnsi="仿宋"/>
          <w:highlight w:val="none"/>
          <w:lang w:eastAsia="zh-CN"/>
        </w:rPr>
        <w:t>。</w:t>
      </w:r>
      <w:r>
        <w:rPr>
          <w:rFonts w:ascii="仿宋" w:hAnsi="仿宋"/>
          <w:highlight w:val="none"/>
        </w:rPr>
        <w:t>色彩：</w:t>
      </w:r>
      <w:r>
        <w:rPr>
          <w:rFonts w:hint="eastAsia" w:ascii="仿宋" w:hAnsi="仿宋"/>
          <w:highlight w:val="none"/>
          <w:lang w:val="en-US" w:eastAsia="zh-CN"/>
        </w:rPr>
        <w:t>应按照6.4、6.5</w:t>
      </w:r>
      <w:r>
        <w:rPr>
          <w:rFonts w:ascii="仿宋" w:hAnsi="仿宋"/>
          <w:highlight w:val="none"/>
        </w:rPr>
        <w:t>规定</w:t>
      </w:r>
      <w:r>
        <w:rPr>
          <w:rFonts w:hint="eastAsia" w:ascii="仿宋" w:hAnsi="仿宋"/>
          <w:highlight w:val="none"/>
          <w:lang w:val="en-US" w:eastAsia="zh-CN"/>
        </w:rPr>
        <w:t>的</w:t>
      </w:r>
      <w:r>
        <w:rPr>
          <w:rFonts w:ascii="仿宋" w:hAnsi="仿宋"/>
          <w:highlight w:val="none"/>
        </w:rPr>
        <w:t>标准色</w:t>
      </w:r>
      <w:r>
        <w:rPr>
          <w:rFonts w:hint="eastAsia" w:ascii="仿宋" w:hAnsi="仿宋"/>
          <w:highlight w:val="none"/>
          <w:lang w:val="en-US" w:eastAsia="zh-CN"/>
        </w:rPr>
        <w:t>和</w:t>
      </w:r>
      <w:r>
        <w:rPr>
          <w:rFonts w:ascii="仿宋" w:hAnsi="仿宋"/>
          <w:highlight w:val="none"/>
        </w:rPr>
        <w:t>辅助色应用</w:t>
      </w:r>
      <w:r>
        <w:rPr>
          <w:rFonts w:hint="eastAsia" w:ascii="仿宋" w:hAnsi="仿宋"/>
          <w:highlight w:val="none"/>
        </w:rPr>
        <w:t>。</w:t>
      </w:r>
      <w:r>
        <w:rPr>
          <w:rFonts w:hint="eastAsia" w:ascii="仿宋" w:hAnsi="仿宋"/>
          <w:highlight w:val="none"/>
          <w:lang w:val="en-US" w:eastAsia="zh-CN"/>
        </w:rPr>
        <w:t>标价牌标志的</w:t>
      </w:r>
      <w:r>
        <w:rPr>
          <w:rFonts w:hint="eastAsia" w:ascii="仿宋" w:hAnsi="仿宋"/>
          <w:highlight w:val="none"/>
        </w:rPr>
        <w:t>设计标准如图</w:t>
      </w:r>
      <w:r>
        <w:rPr>
          <w:highlight w:val="none"/>
        </w:rPr>
        <w:t>9</w:t>
      </w:r>
      <w:r>
        <w:rPr>
          <w:rFonts w:hint="eastAsia" w:ascii="仿宋" w:hAnsi="仿宋"/>
          <w:highlight w:val="none"/>
          <w:lang w:eastAsia="zh-CN"/>
        </w:rPr>
        <w:t>所示。</w:t>
      </w:r>
    </w:p>
    <w:p>
      <w:pPr>
        <w:spacing w:after="120" w:line="36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0" distR="0">
            <wp:extent cx="2640330" cy="3327400"/>
            <wp:effectExtent l="0" t="0" r="7620" b="635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033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t xml:space="preserve"> </w:t>
      </w:r>
    </w:p>
    <w:p>
      <w:pPr>
        <w:spacing w:after="312" w:afterLines="100" w:line="360" w:lineRule="auto"/>
        <w:ind w:firstLine="482"/>
        <w:jc w:val="center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图9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标价牌</w:t>
      </w: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标志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示意图</w:t>
      </w:r>
    </w:p>
    <w:p>
      <w:pPr>
        <w:pStyle w:val="34"/>
        <w:spacing w:before="156" w:after="156" w:line="360" w:lineRule="auto"/>
        <w:rPr>
          <w:szCs w:val="24"/>
          <w:highlight w:val="none"/>
        </w:rPr>
      </w:pPr>
      <w:bookmarkStart w:id="76" w:name="_Toc6699"/>
      <w:r>
        <w:rPr>
          <w:rFonts w:hint="eastAsia"/>
          <w:szCs w:val="24"/>
          <w:highlight w:val="none"/>
        </w:rPr>
        <w:t>立柱式导示</w:t>
      </w:r>
      <w:bookmarkEnd w:id="76"/>
      <w:r>
        <w:rPr>
          <w:rFonts w:hint="eastAsia"/>
          <w:szCs w:val="24"/>
          <w:highlight w:val="none"/>
          <w:lang w:eastAsia="zh-CN"/>
        </w:rPr>
        <w:t>标志</w:t>
      </w:r>
    </w:p>
    <w:p>
      <w:pPr>
        <w:spacing w:after="120" w:line="360" w:lineRule="auto"/>
        <w:ind w:firstLine="480"/>
        <w:rPr>
          <w:rFonts w:hint="eastAsia" w:ascii="Arial" w:eastAsia="宋体"/>
          <w:highlight w:val="none"/>
          <w:lang w:eastAsia="zh-CN"/>
        </w:rPr>
      </w:pPr>
      <w:r>
        <w:rPr>
          <w:rFonts w:hint="eastAsia" w:ascii="仿宋" w:hAnsi="仿宋"/>
          <w:highlight w:val="none"/>
        </w:rPr>
        <w:t>该类</w:t>
      </w:r>
      <w:r>
        <w:rPr>
          <w:rFonts w:hint="eastAsia" w:ascii="仿宋" w:hAnsi="仿宋"/>
          <w:highlight w:val="none"/>
          <w:lang w:val="en-US" w:eastAsia="zh-CN"/>
        </w:rPr>
        <w:t>标志</w:t>
      </w:r>
      <w:r>
        <w:rPr>
          <w:rFonts w:hint="eastAsia" w:ascii="仿宋" w:hAnsi="仿宋"/>
          <w:highlight w:val="none"/>
        </w:rPr>
        <w:t>规格颜色</w:t>
      </w:r>
      <w:r>
        <w:rPr>
          <w:rFonts w:hint="eastAsia" w:ascii="仿宋" w:hAnsi="仿宋"/>
          <w:highlight w:val="none"/>
          <w:lang w:val="en-US" w:eastAsia="zh-CN"/>
        </w:rPr>
        <w:t>和样式的</w:t>
      </w:r>
      <w:r>
        <w:rPr>
          <w:rFonts w:hint="eastAsia" w:ascii="仿宋" w:hAnsi="仿宋"/>
          <w:highlight w:val="none"/>
        </w:rPr>
        <w:t>设计标准如图</w:t>
      </w:r>
      <w:r>
        <w:rPr>
          <w:highlight w:val="none"/>
        </w:rPr>
        <w:t>10</w:t>
      </w:r>
      <w:r>
        <w:rPr>
          <w:rFonts w:hint="eastAsia" w:ascii="仿宋" w:hAnsi="仿宋"/>
          <w:highlight w:val="none"/>
          <w:lang w:eastAsia="zh-CN"/>
        </w:rPr>
        <w:t>所示。</w:t>
      </w:r>
    </w:p>
    <w:p>
      <w:pPr>
        <w:spacing w:after="120" w:line="36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0" distR="0">
            <wp:extent cx="3980815" cy="2902585"/>
            <wp:effectExtent l="0" t="0" r="635" b="1206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80815" cy="290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t xml:space="preserve"> </w:t>
      </w:r>
    </w:p>
    <w:p>
      <w:pPr>
        <w:spacing w:after="312" w:afterLines="100" w:line="360" w:lineRule="auto"/>
        <w:ind w:firstLine="482"/>
        <w:jc w:val="center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图10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立柱式导示</w:t>
      </w: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标志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规格示意图</w:t>
      </w:r>
    </w:p>
    <w:p>
      <w:pPr>
        <w:numPr>
          <w:ilvl w:val="0"/>
          <w:numId w:val="2"/>
        </w:numPr>
        <w:spacing w:before="100" w:beforeAutospacing="1" w:after="156" w:afterLines="50" w:line="360" w:lineRule="auto"/>
        <w:ind w:left="840" w:leftChars="0"/>
        <w:rPr>
          <w:sz w:val="24"/>
          <w:highlight w:val="none"/>
        </w:rPr>
      </w:pPr>
      <w:r>
        <w:rPr>
          <w:rFonts w:hint="eastAsia"/>
        </w:rPr>
        <w:t>立柱式导示标志</w:t>
      </w:r>
      <w:r>
        <w:rPr>
          <w:rFonts w:hint="eastAsia" w:ascii="仿宋" w:hAnsi="仿宋"/>
          <w:highlight w:val="none"/>
          <w:lang w:val="en-US" w:eastAsia="zh-CN"/>
        </w:rPr>
        <w:t>在</w:t>
      </w:r>
      <w:r>
        <w:rPr>
          <w:rFonts w:hint="eastAsia" w:ascii="仿宋" w:hAnsi="仿宋"/>
          <w:highlight w:val="none"/>
        </w:rPr>
        <w:t>独立多车道入口场景部署效果</w:t>
      </w:r>
      <w:r>
        <w:rPr>
          <w:rFonts w:hint="eastAsia" w:ascii="仿宋" w:hAnsi="仿宋"/>
          <w:highlight w:val="none"/>
          <w:lang w:val="en-US" w:eastAsia="zh-CN"/>
        </w:rPr>
        <w:t>如图11所示。</w:t>
      </w:r>
    </w:p>
    <w:p>
      <w:pPr>
        <w:spacing w:after="120" w:line="360" w:lineRule="auto"/>
        <w:ind w:left="900"/>
        <w:jc w:val="center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highlight w:val="none"/>
        </w:rPr>
        <w:drawing>
          <wp:inline distT="0" distB="0" distL="0" distR="0">
            <wp:extent cx="5218430" cy="1793875"/>
            <wp:effectExtent l="0" t="0" r="8890" b="444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8430" cy="179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图11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独立多车道入口场景部署效果示意图</w:t>
      </w:r>
    </w:p>
    <w:p>
      <w:pPr>
        <w:numPr>
          <w:ilvl w:val="0"/>
          <w:numId w:val="2"/>
        </w:numPr>
        <w:spacing w:before="100" w:beforeAutospacing="1" w:after="156" w:afterLines="50" w:line="360" w:lineRule="auto"/>
        <w:ind w:left="840" w:leftChars="0"/>
        <w:rPr>
          <w:rFonts w:hint="eastAsia" w:ascii="仿宋" w:hAnsi="仿宋"/>
          <w:highlight w:val="none"/>
        </w:rPr>
      </w:pPr>
      <w:r>
        <w:rPr>
          <w:rFonts w:hint="eastAsia" w:ascii="仿宋" w:hAnsi="仿宋"/>
          <w:highlight w:val="none"/>
          <w:lang w:val="en-US" w:eastAsia="zh-CN"/>
        </w:rPr>
        <w:t>立柱式导示标志在</w:t>
      </w:r>
      <w:r>
        <w:rPr>
          <w:rFonts w:hint="eastAsia" w:ascii="仿宋" w:hAnsi="仿宋"/>
          <w:highlight w:val="none"/>
        </w:rPr>
        <w:t>独立多车道出口场景部署效果</w:t>
      </w:r>
      <w:r>
        <w:rPr>
          <w:rFonts w:hint="eastAsia" w:ascii="仿宋" w:hAnsi="仿宋"/>
          <w:highlight w:val="none"/>
          <w:lang w:val="en-US" w:eastAsia="zh-CN"/>
        </w:rPr>
        <w:t>如图12所示。</w:t>
      </w:r>
    </w:p>
    <w:p>
      <w:pPr>
        <w:spacing w:after="120" w:line="360" w:lineRule="auto"/>
        <w:ind w:left="900"/>
        <w:jc w:val="center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highlight w:val="none"/>
        </w:rPr>
        <w:drawing>
          <wp:inline distT="0" distB="0" distL="0" distR="0">
            <wp:extent cx="5227320" cy="1786255"/>
            <wp:effectExtent l="0" t="0" r="11430" b="444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732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图12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独立多车道出口场景部署效果示意图</w:t>
      </w:r>
    </w:p>
    <w:p>
      <w:pPr>
        <w:pStyle w:val="34"/>
        <w:spacing w:before="156" w:after="156" w:line="360" w:lineRule="auto"/>
        <w:rPr>
          <w:szCs w:val="24"/>
          <w:highlight w:val="none"/>
        </w:rPr>
      </w:pPr>
      <w:bookmarkStart w:id="77" w:name="_Toc11652"/>
      <w:r>
        <w:rPr>
          <w:rFonts w:hint="eastAsia"/>
          <w:szCs w:val="24"/>
          <w:highlight w:val="none"/>
        </w:rPr>
        <w:t>岗亭式导示</w:t>
      </w:r>
      <w:bookmarkEnd w:id="77"/>
      <w:r>
        <w:rPr>
          <w:rFonts w:hint="eastAsia"/>
          <w:szCs w:val="24"/>
          <w:highlight w:val="none"/>
          <w:lang w:eastAsia="zh-CN"/>
        </w:rPr>
        <w:t>标志</w:t>
      </w:r>
    </w:p>
    <w:p>
      <w:pPr>
        <w:spacing w:after="120" w:line="360" w:lineRule="auto"/>
        <w:ind w:firstLine="480"/>
        <w:rPr>
          <w:rFonts w:hint="eastAsia" w:ascii="仿宋" w:hAnsi="仿宋" w:eastAsia="宋体"/>
          <w:highlight w:val="none"/>
          <w:lang w:eastAsia="zh-CN"/>
        </w:rPr>
      </w:pPr>
      <w:r>
        <w:rPr>
          <w:rFonts w:hint="eastAsia" w:ascii="仿宋" w:hAnsi="仿宋"/>
          <w:highlight w:val="none"/>
          <w:lang w:eastAsia="zh-CN"/>
        </w:rPr>
        <w:t>标志</w:t>
      </w:r>
      <w:r>
        <w:rPr>
          <w:rFonts w:hint="eastAsia" w:ascii="仿宋" w:hAnsi="仿宋"/>
          <w:highlight w:val="none"/>
        </w:rPr>
        <w:t>方案一：</w:t>
      </w:r>
      <w:r>
        <w:rPr>
          <w:rFonts w:hint="eastAsia" w:ascii="宋体" w:hAnsi="宋体" w:cs="宋体"/>
          <w:highlight w:val="none"/>
        </w:rPr>
        <w:t>尺寸：1300</w:t>
      </w:r>
      <w:r>
        <w:rPr>
          <w:rFonts w:hint="eastAsia" w:ascii="宋体" w:hAnsi="宋体" w:cs="宋体"/>
          <w:highlight w:val="none"/>
          <w:lang w:val="en-US" w:eastAsia="zh-CN"/>
        </w:rPr>
        <w:t xml:space="preserve"> mm</w:t>
      </w:r>
      <w:r>
        <w:rPr>
          <w:rFonts w:hint="eastAsia" w:ascii="宋体" w:hAnsi="宋体" w:eastAsia="宋体" w:cs="宋体"/>
          <w:highlight w:val="none"/>
          <w:lang w:val="en-US" w:eastAsia="zh-CN"/>
        </w:rPr>
        <w:t>×</w:t>
      </w:r>
      <w:r>
        <w:rPr>
          <w:rFonts w:hint="eastAsia" w:ascii="宋体" w:hAnsi="宋体" w:cs="宋体"/>
          <w:highlight w:val="none"/>
        </w:rPr>
        <w:t>1000</w:t>
      </w:r>
      <w:r>
        <w:rPr>
          <w:rFonts w:hint="eastAsia" w:ascii="宋体" w:hAnsi="宋体" w:cs="宋体"/>
          <w:highlight w:val="none"/>
          <w:lang w:val="en-US" w:eastAsia="zh-CN"/>
        </w:rPr>
        <w:t xml:space="preserve"> mm</w:t>
      </w:r>
      <w:r>
        <w:rPr>
          <w:rFonts w:hint="eastAsia" w:ascii="宋体" w:hAnsi="宋体" w:eastAsia="宋体" w:cs="宋体"/>
          <w:highlight w:val="none"/>
          <w:lang w:val="en-US" w:eastAsia="zh-CN"/>
        </w:rPr>
        <w:t>×</w:t>
      </w:r>
      <w:r>
        <w:rPr>
          <w:rFonts w:hint="eastAsia" w:ascii="宋体" w:hAnsi="宋体" w:cs="宋体"/>
          <w:highlight w:val="none"/>
        </w:rPr>
        <w:t>2000</w:t>
      </w:r>
      <w:r>
        <w:rPr>
          <w:rFonts w:hint="eastAsia" w:ascii="宋体" w:hAnsi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highlight w:val="none"/>
        </w:rPr>
        <w:t>mm</w:t>
      </w:r>
      <w:r>
        <w:rPr>
          <w:rFonts w:hint="eastAsia" w:ascii="宋体" w:hAnsi="宋体" w:cs="宋体"/>
          <w:highlight w:val="none"/>
          <w:lang w:eastAsia="zh-CN"/>
        </w:rPr>
        <w:t>。</w:t>
      </w:r>
      <w:r>
        <w:rPr>
          <w:rFonts w:hint="eastAsia" w:ascii="宋体" w:hAnsi="宋体" w:cs="宋体"/>
          <w:highlight w:val="none"/>
        </w:rPr>
        <w:t>材质</w:t>
      </w:r>
      <w:r>
        <w:rPr>
          <w:rFonts w:hint="eastAsia" w:ascii="宋体" w:hAnsi="宋体" w:cs="宋体"/>
          <w:highlight w:val="none"/>
          <w:lang w:eastAsia="zh-CN"/>
        </w:rPr>
        <w:t>：</w:t>
      </w:r>
      <w:r>
        <w:rPr>
          <w:rFonts w:hint="eastAsia" w:ascii="宋体" w:hAnsi="宋体" w:cs="宋体"/>
          <w:highlight w:val="none"/>
        </w:rPr>
        <w:t>白</w:t>
      </w:r>
      <w:r>
        <w:rPr>
          <w:rFonts w:hint="eastAsia" w:ascii="仿宋" w:hAnsi="仿宋"/>
          <w:highlight w:val="none"/>
        </w:rPr>
        <w:t>钢烤漆</w:t>
      </w:r>
      <w:r>
        <w:rPr>
          <w:rFonts w:hint="eastAsia" w:ascii="仿宋" w:hAnsi="仿宋"/>
          <w:highlight w:val="none"/>
          <w:lang w:eastAsia="zh-CN"/>
        </w:rPr>
        <w:t>。</w:t>
      </w:r>
      <w:r>
        <w:rPr>
          <w:rFonts w:hint="eastAsia" w:ascii="仿宋" w:hAnsi="仿宋"/>
          <w:highlight w:val="none"/>
        </w:rPr>
        <w:t>色彩：</w:t>
      </w:r>
      <w:r>
        <w:rPr>
          <w:rFonts w:hint="eastAsia" w:ascii="仿宋" w:hAnsi="仿宋"/>
          <w:highlight w:val="none"/>
          <w:lang w:val="en-US" w:eastAsia="zh-CN"/>
        </w:rPr>
        <w:t>应按照6.4、6.5</w:t>
      </w:r>
      <w:r>
        <w:rPr>
          <w:rFonts w:hint="eastAsia" w:ascii="仿宋" w:hAnsi="仿宋"/>
          <w:highlight w:val="none"/>
        </w:rPr>
        <w:t>规定</w:t>
      </w:r>
      <w:r>
        <w:rPr>
          <w:rFonts w:hint="eastAsia" w:ascii="仿宋" w:hAnsi="仿宋"/>
          <w:highlight w:val="none"/>
          <w:lang w:val="en-US" w:eastAsia="zh-CN"/>
        </w:rPr>
        <w:t>的</w:t>
      </w:r>
      <w:r>
        <w:rPr>
          <w:rFonts w:hint="eastAsia" w:ascii="仿宋" w:hAnsi="仿宋"/>
          <w:highlight w:val="none"/>
        </w:rPr>
        <w:t>标准色</w:t>
      </w:r>
      <w:r>
        <w:rPr>
          <w:rFonts w:hint="eastAsia" w:ascii="仿宋" w:hAnsi="仿宋"/>
          <w:highlight w:val="none"/>
          <w:lang w:val="en-US" w:eastAsia="zh-CN"/>
        </w:rPr>
        <w:t>和</w:t>
      </w:r>
      <w:r>
        <w:rPr>
          <w:rFonts w:hint="eastAsia" w:ascii="仿宋" w:hAnsi="仿宋"/>
          <w:highlight w:val="none"/>
        </w:rPr>
        <w:t>辅助色应用。设计标准如图</w:t>
      </w:r>
      <w:r>
        <w:rPr>
          <w:highlight w:val="none"/>
        </w:rPr>
        <w:t>13</w:t>
      </w:r>
      <w:r>
        <w:rPr>
          <w:rFonts w:hint="eastAsia" w:ascii="仿宋" w:hAnsi="仿宋"/>
          <w:highlight w:val="none"/>
          <w:lang w:eastAsia="zh-CN"/>
        </w:rPr>
        <w:t>所示。</w:t>
      </w:r>
    </w:p>
    <w:p>
      <w:pPr>
        <w:spacing w:after="120" w:line="360" w:lineRule="auto"/>
        <w:ind w:firstLine="480"/>
        <w:jc w:val="center"/>
        <w:rPr>
          <w:rFonts w:hint="eastAsia" w:ascii="仿宋" w:hAnsi="仿宋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图13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岗亭式导示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标志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方案一示意图</w:t>
      </w:r>
      <w:r>
        <w:rPr>
          <w:highlight w:val="none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684530</wp:posOffset>
            </wp:positionH>
            <wp:positionV relativeFrom="paragraph">
              <wp:posOffset>2540</wp:posOffset>
            </wp:positionV>
            <wp:extent cx="4391660" cy="2418715"/>
            <wp:effectExtent l="0" t="0" r="8890" b="635"/>
            <wp:wrapTopAndBottom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241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after="120" w:line="360" w:lineRule="auto"/>
        <w:ind w:firstLine="480"/>
        <w:rPr>
          <w:rFonts w:hint="eastAsia" w:eastAsia="宋体"/>
          <w:sz w:val="24"/>
          <w:highlight w:val="none"/>
          <w:lang w:eastAsia="zh-CN"/>
        </w:rPr>
      </w:pPr>
      <w:r>
        <w:rPr>
          <w:rFonts w:hint="eastAsia" w:ascii="仿宋" w:hAnsi="仿宋"/>
          <w:highlight w:val="none"/>
          <w:lang w:eastAsia="zh-CN"/>
        </w:rPr>
        <w:t>标志</w:t>
      </w:r>
      <w:r>
        <w:rPr>
          <w:rFonts w:hint="eastAsia" w:ascii="仿宋" w:hAnsi="仿宋"/>
          <w:highlight w:val="none"/>
        </w:rPr>
        <w:t>方案二：</w:t>
      </w:r>
      <w:r>
        <w:rPr>
          <w:rFonts w:hint="eastAsia" w:ascii="宋体" w:hAnsi="宋体" w:cs="宋体"/>
          <w:highlight w:val="none"/>
        </w:rPr>
        <w:t>尺寸：1300</w:t>
      </w:r>
      <w:r>
        <w:rPr>
          <w:rFonts w:hint="eastAsia" w:ascii="宋体" w:hAnsi="宋体" w:cs="宋体"/>
          <w:highlight w:val="none"/>
          <w:lang w:val="en-US" w:eastAsia="zh-CN"/>
        </w:rPr>
        <w:t xml:space="preserve"> mm</w:t>
      </w:r>
      <w:r>
        <w:rPr>
          <w:rFonts w:hint="eastAsia" w:ascii="宋体" w:hAnsi="宋体" w:eastAsia="宋体" w:cs="宋体"/>
          <w:highlight w:val="none"/>
          <w:lang w:val="en-US" w:eastAsia="zh-CN"/>
        </w:rPr>
        <w:t>×</w:t>
      </w:r>
      <w:r>
        <w:rPr>
          <w:rFonts w:hint="eastAsia" w:ascii="宋体" w:hAnsi="宋体" w:cs="宋体"/>
          <w:highlight w:val="none"/>
        </w:rPr>
        <w:t>1000</w:t>
      </w:r>
      <w:r>
        <w:rPr>
          <w:rFonts w:hint="eastAsia" w:ascii="宋体" w:hAnsi="宋体" w:cs="宋体"/>
          <w:highlight w:val="none"/>
          <w:lang w:val="en-US" w:eastAsia="zh-CN"/>
        </w:rPr>
        <w:t xml:space="preserve"> mm</w:t>
      </w:r>
      <w:r>
        <w:rPr>
          <w:rFonts w:hint="eastAsia" w:ascii="宋体" w:hAnsi="宋体" w:eastAsia="宋体" w:cs="宋体"/>
          <w:highlight w:val="none"/>
          <w:lang w:val="en-US" w:eastAsia="zh-CN"/>
        </w:rPr>
        <w:t>×</w:t>
      </w:r>
      <w:r>
        <w:rPr>
          <w:rFonts w:hint="eastAsia" w:ascii="宋体" w:hAnsi="宋体" w:cs="宋体"/>
          <w:highlight w:val="none"/>
        </w:rPr>
        <w:t>2000</w:t>
      </w:r>
      <w:r>
        <w:rPr>
          <w:rFonts w:hint="eastAsia" w:ascii="宋体" w:hAnsi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highlight w:val="none"/>
        </w:rPr>
        <w:t>mm</w:t>
      </w:r>
      <w:r>
        <w:rPr>
          <w:rFonts w:hint="eastAsia" w:ascii="宋体" w:hAnsi="宋体" w:cs="宋体"/>
          <w:highlight w:val="none"/>
          <w:lang w:eastAsia="zh-CN"/>
        </w:rPr>
        <w:t>。</w:t>
      </w:r>
      <w:r>
        <w:rPr>
          <w:rFonts w:hint="eastAsia" w:ascii="宋体" w:hAnsi="宋体" w:cs="宋体"/>
          <w:highlight w:val="none"/>
        </w:rPr>
        <w:t>材质</w:t>
      </w:r>
      <w:r>
        <w:rPr>
          <w:rFonts w:hint="eastAsia" w:ascii="宋体" w:hAnsi="宋体" w:cs="宋体"/>
          <w:highlight w:val="none"/>
          <w:lang w:eastAsia="zh-CN"/>
        </w:rPr>
        <w:t>：</w:t>
      </w:r>
      <w:r>
        <w:rPr>
          <w:rFonts w:hint="eastAsia" w:ascii="宋体" w:hAnsi="宋体" w:cs="宋体"/>
          <w:highlight w:val="none"/>
        </w:rPr>
        <w:t>白</w:t>
      </w:r>
      <w:r>
        <w:rPr>
          <w:rFonts w:hint="eastAsia" w:ascii="仿宋" w:hAnsi="仿宋"/>
          <w:highlight w:val="none"/>
        </w:rPr>
        <w:t>钢烤漆</w:t>
      </w:r>
      <w:r>
        <w:rPr>
          <w:rFonts w:hint="eastAsia" w:ascii="仿宋" w:hAnsi="仿宋"/>
          <w:highlight w:val="none"/>
          <w:lang w:eastAsia="zh-CN"/>
        </w:rPr>
        <w:t>。</w:t>
      </w:r>
      <w:r>
        <w:rPr>
          <w:rFonts w:hint="eastAsia" w:ascii="仿宋" w:hAnsi="仿宋"/>
          <w:highlight w:val="none"/>
        </w:rPr>
        <w:t>色彩：</w:t>
      </w:r>
      <w:r>
        <w:rPr>
          <w:rFonts w:hint="eastAsia" w:ascii="仿宋" w:hAnsi="仿宋"/>
          <w:highlight w:val="none"/>
          <w:lang w:val="en-US" w:eastAsia="zh-CN"/>
        </w:rPr>
        <w:t>应按照6.4、6.5</w:t>
      </w:r>
      <w:r>
        <w:rPr>
          <w:rFonts w:hint="eastAsia" w:ascii="仿宋" w:hAnsi="仿宋"/>
          <w:highlight w:val="none"/>
        </w:rPr>
        <w:t>规定</w:t>
      </w:r>
      <w:r>
        <w:rPr>
          <w:rFonts w:hint="eastAsia" w:ascii="仿宋" w:hAnsi="仿宋"/>
          <w:highlight w:val="none"/>
          <w:lang w:val="en-US" w:eastAsia="zh-CN"/>
        </w:rPr>
        <w:t>的</w:t>
      </w:r>
      <w:r>
        <w:rPr>
          <w:rFonts w:hint="eastAsia" w:ascii="仿宋" w:hAnsi="仿宋"/>
          <w:highlight w:val="none"/>
        </w:rPr>
        <w:t>标准色</w:t>
      </w:r>
      <w:r>
        <w:rPr>
          <w:rFonts w:hint="eastAsia" w:ascii="仿宋" w:hAnsi="仿宋"/>
          <w:highlight w:val="none"/>
          <w:lang w:val="en-US" w:eastAsia="zh-CN"/>
        </w:rPr>
        <w:t>和</w:t>
      </w:r>
      <w:r>
        <w:rPr>
          <w:rFonts w:hint="eastAsia" w:ascii="仿宋" w:hAnsi="仿宋"/>
          <w:highlight w:val="none"/>
        </w:rPr>
        <w:t>辅助色应用。设计标准如图</w:t>
      </w:r>
      <w:r>
        <w:rPr>
          <w:highlight w:val="none"/>
        </w:rPr>
        <w:t>14</w:t>
      </w:r>
      <w:r>
        <w:rPr>
          <w:rFonts w:hint="eastAsia" w:ascii="仿宋" w:hAnsi="仿宋"/>
          <w:highlight w:val="none"/>
          <w:lang w:eastAsia="zh-CN"/>
        </w:rPr>
        <w:t>所示。</w:t>
      </w:r>
    </w:p>
    <w:p>
      <w:pPr>
        <w:spacing w:after="120" w:line="360" w:lineRule="auto"/>
        <w:ind w:left="900"/>
        <w:jc w:val="center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highlight w:val="none"/>
        </w:rPr>
        <w:drawing>
          <wp:inline distT="0" distB="0" distL="0" distR="0">
            <wp:extent cx="5443855" cy="2243455"/>
            <wp:effectExtent l="0" t="0" r="4445" b="444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43855" cy="224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21"/>
          <w:szCs w:val="21"/>
          <w:highlight w:val="none"/>
        </w:rPr>
        <w:t>图14</w:t>
      </w: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岗亭式导示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标志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方案二示意图</w:t>
      </w:r>
    </w:p>
    <w:p>
      <w:pPr>
        <w:pStyle w:val="34"/>
        <w:spacing w:before="156" w:after="156" w:line="360" w:lineRule="auto"/>
        <w:rPr>
          <w:szCs w:val="24"/>
          <w:highlight w:val="none"/>
        </w:rPr>
      </w:pPr>
      <w:bookmarkStart w:id="78" w:name="_Toc123"/>
      <w:r>
        <w:rPr>
          <w:szCs w:val="24"/>
          <w:highlight w:val="none"/>
        </w:rPr>
        <w:t>防撞条</w:t>
      </w:r>
      <w:r>
        <w:rPr>
          <w:rFonts w:hint="eastAsia"/>
          <w:szCs w:val="24"/>
          <w:highlight w:val="none"/>
        </w:rPr>
        <w:t>提示</w:t>
      </w:r>
      <w:bookmarkEnd w:id="78"/>
      <w:r>
        <w:rPr>
          <w:rFonts w:hint="eastAsia"/>
          <w:szCs w:val="24"/>
          <w:highlight w:val="none"/>
          <w:lang w:eastAsia="zh-CN"/>
        </w:rPr>
        <w:t>标志</w:t>
      </w:r>
    </w:p>
    <w:p>
      <w:pPr>
        <w:spacing w:after="120" w:line="360" w:lineRule="auto"/>
        <w:ind w:firstLine="480"/>
        <w:rPr>
          <w:rFonts w:hint="eastAsia" w:ascii="Arial" w:eastAsia="宋体"/>
          <w:highlight w:val="none"/>
          <w:lang w:eastAsia="zh-CN"/>
        </w:rPr>
      </w:pPr>
      <w:r>
        <w:rPr>
          <w:rFonts w:ascii="仿宋" w:hAnsi="仿宋"/>
          <w:highlight w:val="none"/>
        </w:rPr>
        <w:t>尺寸：高度为100</w:t>
      </w:r>
      <w:r>
        <w:rPr>
          <w:rFonts w:hint="eastAsia" w:ascii="仿宋" w:hAnsi="仿宋"/>
          <w:highlight w:val="none"/>
          <w:lang w:val="en-US" w:eastAsia="zh-CN"/>
        </w:rPr>
        <w:t xml:space="preserve"> </w:t>
      </w:r>
      <w:r>
        <w:rPr>
          <w:rFonts w:ascii="仿宋" w:hAnsi="仿宋"/>
          <w:highlight w:val="none"/>
        </w:rPr>
        <w:t>mm</w:t>
      </w:r>
      <w:r>
        <w:rPr>
          <w:rFonts w:hint="eastAsia"/>
          <w:highlight w:val="none"/>
          <w:lang w:eastAsia="zh-CN"/>
        </w:rPr>
        <w:t>，</w:t>
      </w:r>
      <w:r>
        <w:rPr>
          <w:rFonts w:ascii="仿宋" w:hAnsi="仿宋"/>
          <w:highlight w:val="none"/>
        </w:rPr>
        <w:t>宽度根据实际情况而定</w:t>
      </w:r>
      <w:r>
        <w:rPr>
          <w:rFonts w:hint="eastAsia" w:ascii="仿宋" w:hAnsi="仿宋"/>
          <w:highlight w:val="none"/>
          <w:lang w:eastAsia="zh-CN"/>
        </w:rPr>
        <w:t>。</w:t>
      </w:r>
      <w:r>
        <w:rPr>
          <w:rFonts w:ascii="仿宋" w:hAnsi="仿宋"/>
          <w:highlight w:val="none"/>
        </w:rPr>
        <w:t>材质：专用防撞条贴膜</w:t>
      </w:r>
      <w:r>
        <w:rPr>
          <w:rFonts w:hint="eastAsia" w:ascii="仿宋" w:hAnsi="仿宋"/>
          <w:highlight w:val="none"/>
          <w:lang w:eastAsia="zh-CN"/>
        </w:rPr>
        <w:t>。</w:t>
      </w:r>
      <w:r>
        <w:rPr>
          <w:rFonts w:ascii="仿宋" w:hAnsi="仿宋"/>
          <w:highlight w:val="none"/>
        </w:rPr>
        <w:t>色彩：</w:t>
      </w:r>
      <w:r>
        <w:rPr>
          <w:rFonts w:hint="eastAsia" w:ascii="仿宋" w:hAnsi="仿宋"/>
          <w:highlight w:val="none"/>
          <w:lang w:val="en-US" w:eastAsia="zh-CN"/>
        </w:rPr>
        <w:t>应按照6.4、6.5</w:t>
      </w:r>
      <w:r>
        <w:rPr>
          <w:rFonts w:ascii="仿宋" w:hAnsi="仿宋"/>
          <w:highlight w:val="none"/>
        </w:rPr>
        <w:t>规定</w:t>
      </w:r>
      <w:r>
        <w:rPr>
          <w:rFonts w:hint="eastAsia" w:ascii="仿宋" w:hAnsi="仿宋"/>
          <w:highlight w:val="none"/>
          <w:lang w:val="en-US" w:eastAsia="zh-CN"/>
        </w:rPr>
        <w:t>的</w:t>
      </w:r>
      <w:r>
        <w:rPr>
          <w:rFonts w:ascii="仿宋" w:hAnsi="仿宋"/>
          <w:highlight w:val="none"/>
        </w:rPr>
        <w:t>标准色</w:t>
      </w:r>
      <w:r>
        <w:rPr>
          <w:rFonts w:hint="eastAsia" w:ascii="仿宋" w:hAnsi="仿宋"/>
          <w:highlight w:val="none"/>
          <w:lang w:val="en-US" w:eastAsia="zh-CN"/>
        </w:rPr>
        <w:t>和</w:t>
      </w:r>
      <w:r>
        <w:rPr>
          <w:rFonts w:ascii="仿宋" w:hAnsi="仿宋"/>
          <w:highlight w:val="none"/>
        </w:rPr>
        <w:t>辅助色应用</w:t>
      </w:r>
      <w:r>
        <w:rPr>
          <w:rFonts w:hint="eastAsia" w:ascii="仿宋" w:hAnsi="仿宋"/>
          <w:highlight w:val="none"/>
        </w:rPr>
        <w:t>。</w:t>
      </w:r>
      <w:r>
        <w:rPr>
          <w:rFonts w:hint="eastAsia" w:ascii="仿宋" w:hAnsi="仿宋"/>
          <w:highlight w:val="none"/>
          <w:lang w:val="en-US" w:eastAsia="zh-CN"/>
        </w:rPr>
        <w:t>防撞条提示标志的</w:t>
      </w:r>
      <w:r>
        <w:rPr>
          <w:rFonts w:hint="eastAsia" w:ascii="仿宋" w:hAnsi="仿宋"/>
          <w:highlight w:val="none"/>
        </w:rPr>
        <w:t>设计标准如图</w:t>
      </w:r>
      <w:r>
        <w:rPr>
          <w:highlight w:val="none"/>
        </w:rPr>
        <w:t>15</w:t>
      </w:r>
      <w:r>
        <w:rPr>
          <w:rFonts w:hint="eastAsia" w:ascii="仿宋" w:hAnsi="仿宋"/>
          <w:highlight w:val="none"/>
          <w:lang w:eastAsia="zh-CN"/>
        </w:rPr>
        <w:t>所示。</w:t>
      </w:r>
    </w:p>
    <w:p>
      <w:pPr>
        <w:spacing w:after="120" w:line="36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0" distR="0">
            <wp:extent cx="4370070" cy="2870835"/>
            <wp:effectExtent l="0" t="0" r="0" b="571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0070" cy="287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t xml:space="preserve"> </w:t>
      </w:r>
    </w:p>
    <w:p>
      <w:pPr>
        <w:spacing w:after="312" w:afterLines="100" w:line="360" w:lineRule="auto"/>
        <w:ind w:firstLine="482"/>
        <w:jc w:val="center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图15</w:t>
      </w: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　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防撞条提示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标志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示意图</w:t>
      </w:r>
    </w:p>
    <w:p>
      <w:pPr>
        <w:pStyle w:val="33"/>
        <w:spacing w:before="312" w:after="312" w:line="360" w:lineRule="auto"/>
        <w:rPr>
          <w:highlight w:val="none"/>
        </w:rPr>
      </w:pPr>
      <w:bookmarkStart w:id="79" w:name="_Toc4731"/>
      <w:r>
        <w:rPr>
          <w:rFonts w:hint="eastAsia"/>
          <w:highlight w:val="none"/>
          <w:lang w:eastAsia="zh-CN"/>
        </w:rPr>
        <w:t>标志</w:t>
      </w:r>
      <w:r>
        <w:rPr>
          <w:rFonts w:hint="eastAsia"/>
          <w:highlight w:val="none"/>
        </w:rPr>
        <w:t>的反光和照明要求</w:t>
      </w:r>
      <w:bookmarkEnd w:id="79"/>
    </w:p>
    <w:p>
      <w:pPr>
        <w:spacing w:line="360" w:lineRule="auto"/>
        <w:ind w:firstLine="420" w:firstLineChars="200"/>
        <w:rPr>
          <w:rFonts w:hint="eastAsia" w:ascii="宋体"/>
          <w:kern w:val="0"/>
          <w:szCs w:val="22"/>
          <w:highlight w:val="none"/>
          <w:lang w:val="en-US" w:eastAsia="zh-CN"/>
        </w:rPr>
      </w:pPr>
      <w:r>
        <w:rPr>
          <w:rFonts w:hint="eastAsia" w:ascii="宋体"/>
          <w:kern w:val="0"/>
          <w:szCs w:val="22"/>
          <w:highlight w:val="none"/>
          <w:lang w:val="en-US" w:eastAsia="zh-CN"/>
        </w:rPr>
        <w:t>应将标志设在明亮的地方，以保证客户能够正常辨认标志。如在应设置标志的位置附近无法找到明亮地点，则应考虑增加辅助光源或使用灯箱。</w:t>
      </w:r>
    </w:p>
    <w:p>
      <w:pPr>
        <w:spacing w:line="360" w:lineRule="auto"/>
        <w:ind w:firstLine="420" w:firstLineChars="200"/>
        <w:rPr>
          <w:rFonts w:hint="eastAsia" w:ascii="宋体"/>
          <w:kern w:val="0"/>
          <w:szCs w:val="22"/>
          <w:highlight w:val="none"/>
          <w:lang w:val="en-US" w:eastAsia="zh-CN"/>
        </w:rPr>
      </w:pPr>
      <w:r>
        <w:rPr>
          <w:rFonts w:hint="eastAsia" w:ascii="宋体"/>
          <w:kern w:val="0"/>
          <w:szCs w:val="22"/>
          <w:highlight w:val="none"/>
          <w:lang w:val="en-US" w:eastAsia="zh-CN"/>
        </w:rPr>
        <w:t>标志面照明度均匀，表面亮度应在30 cd/㎡以上。</w:t>
      </w:r>
    </w:p>
    <w:p>
      <w:pPr>
        <w:spacing w:line="360" w:lineRule="auto"/>
        <w:ind w:firstLine="420" w:firstLineChars="200"/>
        <w:rPr>
          <w:rFonts w:hint="eastAsia" w:ascii="宋体"/>
          <w:kern w:val="0"/>
          <w:szCs w:val="22"/>
          <w:highlight w:val="none"/>
          <w:lang w:val="en-US" w:eastAsia="zh-CN"/>
        </w:rPr>
      </w:pPr>
      <w:r>
        <w:rPr>
          <w:rFonts w:hint="eastAsia" w:ascii="宋体"/>
          <w:kern w:val="0"/>
          <w:szCs w:val="22"/>
          <w:highlight w:val="none"/>
          <w:lang w:val="en-US" w:eastAsia="zh-CN"/>
        </w:rPr>
        <w:t>标志的反光材料应具有优良的广角性和逆反性能，在不同入射角（汽车前照明灯光线与标志表面法线之间的夹角）、不同观测角（汽车前照灯光线与标志发射回驾驶员眼睛的光线间的夹角）的条件下，用于标志面的反光膜的逆反射系数值应符合JT/T 279-2004的规定。</w:t>
      </w:r>
    </w:p>
    <w:p>
      <w:pPr>
        <w:pStyle w:val="33"/>
        <w:spacing w:before="312" w:after="312" w:line="360" w:lineRule="auto"/>
        <w:rPr>
          <w:highlight w:val="none"/>
        </w:rPr>
      </w:pPr>
      <w:bookmarkStart w:id="80" w:name="_Toc26109"/>
      <w:r>
        <w:rPr>
          <w:rFonts w:hint="eastAsia"/>
          <w:highlight w:val="none"/>
          <w:lang w:eastAsia="zh-CN"/>
        </w:rPr>
        <w:t>标志</w:t>
      </w:r>
      <w:r>
        <w:rPr>
          <w:rFonts w:hint="eastAsia"/>
          <w:highlight w:val="none"/>
        </w:rPr>
        <w:t>施工结果审查</w:t>
      </w:r>
      <w:bookmarkEnd w:id="80"/>
    </w:p>
    <w:p>
      <w:pPr>
        <w:spacing w:line="360" w:lineRule="auto"/>
        <w:ind w:firstLine="420" w:firstLineChars="200"/>
        <w:rPr>
          <w:rFonts w:hint="eastAsia" w:ascii="宋体"/>
          <w:kern w:val="0"/>
          <w:szCs w:val="22"/>
          <w:highlight w:val="none"/>
          <w:lang w:val="en-US" w:eastAsia="zh-CN"/>
        </w:rPr>
      </w:pPr>
      <w:r>
        <w:rPr>
          <w:rFonts w:hint="eastAsia" w:ascii="宋体"/>
          <w:kern w:val="0"/>
          <w:szCs w:val="22"/>
          <w:highlight w:val="none"/>
          <w:lang w:val="en-US" w:eastAsia="zh-CN"/>
        </w:rPr>
        <w:t>停车场（库）基于本文件完成标志施工后，辽宁ETC发行机构按本文件的设计要求对实施方案进行审查与登记备案。对于审查不合格的停车场（库），给予为期3~5天整改期限，整改完成后进行二次审查，若在二审还未通过，将由辽宁ETC发行机构视情况严重程度决定是否取消合作资格。</w:t>
      </w:r>
    </w:p>
    <w:p>
      <w:pPr>
        <w:spacing w:line="360" w:lineRule="auto"/>
        <w:ind w:firstLine="420" w:firstLineChars="200"/>
        <w:rPr>
          <w:rFonts w:hint="eastAsia" w:ascii="宋体"/>
          <w:kern w:val="0"/>
          <w:szCs w:val="22"/>
          <w:highlight w:val="none"/>
          <w:lang w:val="en-US" w:eastAsia="zh-CN"/>
        </w:rPr>
      </w:pPr>
      <w:r>
        <w:rPr>
          <w:rFonts w:hint="eastAsia" w:ascii="宋体"/>
          <w:kern w:val="0"/>
          <w:szCs w:val="22"/>
          <w:highlight w:val="none"/>
          <w:lang w:val="en-US" w:eastAsia="zh-CN"/>
        </w:rPr>
        <w:t>对于标志实施审查通过的停车场（库），辽宁ETC发行机构每半年应进行不少于两次不定期抽查，对于审查不合格的停车场（库），给予为期3~5天整改期限，整改完成后进行二次审查，若在二审还未通过，由辽宁ETC发行机构视情况严重程度，给予处罚或取消合作资格。</w:t>
      </w:r>
    </w:p>
    <w:bookmarkEnd w:id="35"/>
    <w:bookmarkEnd w:id="36"/>
    <w:p>
      <w:pPr>
        <w:pStyle w:val="38"/>
        <w:rPr>
          <w:highlight w:val="none"/>
        </w:rPr>
      </w:pPr>
      <w:r>
        <w:rPr>
          <w:highlight w:val="none"/>
        </w:rPr>
        <w:t>________________________________</w:t>
      </w:r>
    </w:p>
    <w:p>
      <w:pPr>
        <w:rPr>
          <w:highlight w:val="none"/>
        </w:rPr>
      </w:pPr>
    </w:p>
    <w:sectPr>
      <w:headerReference r:id="rId9" w:type="default"/>
      <w:footerReference r:id="rId11" w:type="default"/>
      <w:headerReference r:id="rId10" w:type="even"/>
      <w:footerReference r:id="rId12" w:type="even"/>
      <w:pgSz w:w="11906" w:h="16838"/>
      <w:pgMar w:top="720" w:right="1134" w:bottom="720" w:left="1417" w:header="1418" w:footer="1134" w:gutter="0"/>
      <w:pgNumType w:fmt="decimal" w:start="1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1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Ⅱ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IkyInbCAQAAjw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1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Ⅱ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</w:pPr>
    <w:r>
      <w:rPr>
        <w:sz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I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I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</w:pPr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II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JoMp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II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1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848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fwY1sIBAACPAwAADgAAAGRycy9lMm9Eb2MueG1srVPNjtMwEL6vxDtY&#10;vlNnK4G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uAlvKHHc4sTPP3+cfz2eH74T&#10;9KFAfYAa8+4CZqbhvR8wefYDOjPvQUWbv8iIYBzlPV3klUMiIj9aLVerCkMCY/MF8dnT8xAhfZDe&#10;kmw0NOL8iqz8+AnSmDqn5GrO32pjygyN+8uBmNnDcu9jj9lKw26YCO18e0I+PY6+oQ43nRLz0aGy&#10;eUtmI87GbjJyDQjvDgkLl34y6gg1FcM5FUbTTuVF+PNesp7+o81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Mn8GNbCAQAAjw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1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I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WW+3oz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dTSgzTqPj5x/fz&#10;z9/nX98IziBQ7cIccQ8OkbF5Zxu0zXAecJh4N6XX6QtGBH7Ie7rIK5pIeLo0m85mY7g4fMMG+NnT&#10;dedDfC+sJsnIqUf9WlnZcRtiFzqEpGzGbqRSbQ2VIXVOr6/ejt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AWW+3o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I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2"/>
                            <w:rPr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Ⅱ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OqXm5zwAAAAUBAAAPAAAAAAAAAAEAIAAAACIAAABkcnMvZG93bnJldi54bWxQSwECFAAU&#10;AAAACACHTuJApip7u8EBAACNAwAADgAAAAAAAAABACAAAAAe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2"/>
                      <w:rPr>
                        <w:rFonts w:hint="default" w:eastAsia="宋体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Ⅱ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3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III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c+bJUzAgAAYw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OKdFMoeKXH98v&#10;P39ffn0jOINAtfVzxO0sIkPzzjRom+Hc4zDybgqn4heMCPyQ93yVVzSB8HhpNpnNUrg4fMMG+MnT&#10;det8eC+MItHIqEP9WlnZaetDFzqExGzabCop2xpKTeqM3kzf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c+bJ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III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</w:pPr>
    <w:r>
      <w:rPr>
        <w:sz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IV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ptGXYzAgAAYwQAAA4AAABkcnMvZTJvRG9jLnhtbK1UzY7TMBC+I/EO&#10;lu80aRdWVd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1JYZpVPz0/dvp&#10;x6/Tz68EZxCocWGGuAeHyNi+tS3aZjgPOEy828rr9AUjAj/kPV7kFW0kPF2aTqbTHC4O37ABfvZ4&#10;3fkQ3wmrSTIK6lG/TlZ22ITYhw4hKZuxa6lUV0NlSFPQ66s3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ptGXY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IV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jc w:val="both"/>
      <w:rPr>
        <w:rFonts w:hint="eastAsia" w:eastAsia="黑体"/>
        <w:lang w:val="en-US" w:eastAsia="zh-CN"/>
      </w:rPr>
    </w:pPr>
    <w:r>
      <w:t>DB21/T XXXXX—20</w:t>
    </w:r>
    <w:r>
      <w:rPr>
        <w:rFonts w:hint="eastAsia"/>
      </w:rPr>
      <w:t>2</w:t>
    </w:r>
    <w:r>
      <w:rPr>
        <w:rFonts w:hint="eastAsia"/>
        <w:lang w:val="en-US" w:eastAsia="zh-CN"/>
      </w:rPr>
      <w:t>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  <w:rPr>
        <w:rFonts w:hint="eastAsia" w:eastAsia="黑体"/>
        <w:lang w:eastAsia="zh-CN"/>
      </w:rPr>
    </w:pPr>
    <w:r>
      <w:t>DB</w:t>
    </w:r>
    <w:r>
      <w:rPr>
        <w:rFonts w:hint="eastAsia"/>
      </w:rPr>
      <w:t>21</w:t>
    </w:r>
    <w:r>
      <w:t>/</w:t>
    </w:r>
    <w:r>
      <w:rPr>
        <w:rFonts w:hint="eastAsia"/>
      </w:rPr>
      <w:t>T</w:t>
    </w:r>
    <w:r>
      <w:t xml:space="preserve"> XXXX</w:t>
    </w:r>
    <w:r>
      <w:rPr>
        <w:rFonts w:hAnsi="黑体"/>
      </w:rPr>
      <w:t>—</w:t>
    </w:r>
    <w:r>
      <w:rPr>
        <w:rFonts w:hint="eastAsia"/>
      </w:rPr>
      <w:t>202</w:t>
    </w:r>
    <w:r>
      <w:rPr>
        <w:rFonts w:hint="eastAsia"/>
        <w:lang w:val="en-US" w:eastAsia="zh-CN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  <w:pBdr>
        <w:bottom w:val="none" w:color="auto" w:sz="0" w:space="0"/>
      </w:pBdr>
    </w:pPr>
    <w:r>
      <w:t>DB</w:t>
    </w:r>
    <w:r>
      <w:rPr>
        <w:rFonts w:hint="eastAsia"/>
      </w:rPr>
      <w:t>21</w:t>
    </w:r>
    <w:r>
      <w:t>/</w:t>
    </w:r>
    <w:r>
      <w:rPr>
        <w:rFonts w:hint="eastAsia"/>
      </w:rPr>
      <w:t>T</w:t>
    </w:r>
    <w:r>
      <w:t xml:space="preserve"> XXXX</w:t>
    </w:r>
    <w:r>
      <w:rPr>
        <w:rFonts w:hAnsi="黑体"/>
      </w:rPr>
      <w:t>—</w:t>
    </w:r>
    <w:r>
      <w:rPr>
        <w:rFonts w:hint="eastAsia"/>
      </w:rPr>
      <w:t>2021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pBdr>
        <w:bottom w:val="none" w:color="auto" w:sz="0" w:space="0"/>
      </w:pBdr>
      <w:rPr>
        <w:rFonts w:hAnsi="黑体" w:cs="黑体"/>
      </w:rPr>
    </w:pPr>
    <w:r>
      <w:rPr>
        <w:rFonts w:hint="eastAsia" w:hAnsi="黑体" w:cs="黑体"/>
      </w:rPr>
      <w:t>DB21/T XXXXX—2021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A7DD49"/>
    <w:multiLevelType w:val="multilevel"/>
    <w:tmpl w:val="81A7DD49"/>
    <w:lvl w:ilvl="0" w:tentative="0">
      <w:start w:val="1"/>
      <w:numFmt w:val="decimal"/>
      <w:pStyle w:val="33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5"/>
      <w:suff w:val="nothing"/>
      <w:lvlText w:val="%1.%2.%3　"/>
      <w:lvlJc w:val="left"/>
      <w:pPr>
        <w:tabs>
          <w:tab w:val="left" w:pos="0"/>
        </w:tabs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36"/>
      <w:suff w:val="nothing"/>
      <w:lvlText w:val="%1.%2.%3.%4　"/>
      <w:lvlJc w:val="left"/>
      <w:pPr>
        <w:tabs>
          <w:tab w:val="left" w:pos="0"/>
        </w:tabs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C6741F4C"/>
    <w:multiLevelType w:val="singleLevel"/>
    <w:tmpl w:val="C6741F4C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trackRevisions w:val="1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E6F69"/>
    <w:rsid w:val="00117D27"/>
    <w:rsid w:val="001701F1"/>
    <w:rsid w:val="001B350B"/>
    <w:rsid w:val="001F7E82"/>
    <w:rsid w:val="0031667C"/>
    <w:rsid w:val="00357267"/>
    <w:rsid w:val="004A00F4"/>
    <w:rsid w:val="0059656A"/>
    <w:rsid w:val="006572B2"/>
    <w:rsid w:val="00696482"/>
    <w:rsid w:val="0089701F"/>
    <w:rsid w:val="009D13F4"/>
    <w:rsid w:val="00B26893"/>
    <w:rsid w:val="00B35AAE"/>
    <w:rsid w:val="00D636FE"/>
    <w:rsid w:val="04115EB5"/>
    <w:rsid w:val="046234AB"/>
    <w:rsid w:val="05062C11"/>
    <w:rsid w:val="057D34AA"/>
    <w:rsid w:val="06CA797B"/>
    <w:rsid w:val="07205703"/>
    <w:rsid w:val="080C0A6B"/>
    <w:rsid w:val="088638C2"/>
    <w:rsid w:val="090A38F9"/>
    <w:rsid w:val="0A29658D"/>
    <w:rsid w:val="0B6D143B"/>
    <w:rsid w:val="0BFA2FFB"/>
    <w:rsid w:val="0C181042"/>
    <w:rsid w:val="0CA573E6"/>
    <w:rsid w:val="0CF46853"/>
    <w:rsid w:val="0EA717F4"/>
    <w:rsid w:val="0FD809D1"/>
    <w:rsid w:val="10772A26"/>
    <w:rsid w:val="10FD1036"/>
    <w:rsid w:val="12FD228D"/>
    <w:rsid w:val="13AF489F"/>
    <w:rsid w:val="15925D09"/>
    <w:rsid w:val="18AA0CB1"/>
    <w:rsid w:val="1913321B"/>
    <w:rsid w:val="1BC97D5A"/>
    <w:rsid w:val="1D877955"/>
    <w:rsid w:val="1D9C6AB5"/>
    <w:rsid w:val="1E5E05BF"/>
    <w:rsid w:val="1F691833"/>
    <w:rsid w:val="1F7A59BC"/>
    <w:rsid w:val="1FEC22FD"/>
    <w:rsid w:val="20252AF2"/>
    <w:rsid w:val="20790381"/>
    <w:rsid w:val="218D2EE4"/>
    <w:rsid w:val="21A15582"/>
    <w:rsid w:val="2226285B"/>
    <w:rsid w:val="22C80B77"/>
    <w:rsid w:val="22D47BE9"/>
    <w:rsid w:val="22E215AC"/>
    <w:rsid w:val="23406AEA"/>
    <w:rsid w:val="25D76D47"/>
    <w:rsid w:val="283E00E0"/>
    <w:rsid w:val="29925D3E"/>
    <w:rsid w:val="2A624F3A"/>
    <w:rsid w:val="2AE55B7B"/>
    <w:rsid w:val="2AF24F56"/>
    <w:rsid w:val="2B971F74"/>
    <w:rsid w:val="2EF72C4C"/>
    <w:rsid w:val="2F082083"/>
    <w:rsid w:val="31B47880"/>
    <w:rsid w:val="32E91027"/>
    <w:rsid w:val="33D45A16"/>
    <w:rsid w:val="3655386B"/>
    <w:rsid w:val="36B119E7"/>
    <w:rsid w:val="36DB1330"/>
    <w:rsid w:val="37254F97"/>
    <w:rsid w:val="3760187C"/>
    <w:rsid w:val="37D61428"/>
    <w:rsid w:val="38707595"/>
    <w:rsid w:val="39027905"/>
    <w:rsid w:val="393E1486"/>
    <w:rsid w:val="39586FBF"/>
    <w:rsid w:val="396A5F39"/>
    <w:rsid w:val="3A4A19EF"/>
    <w:rsid w:val="3C9315BF"/>
    <w:rsid w:val="3CA42787"/>
    <w:rsid w:val="3D760BFA"/>
    <w:rsid w:val="3D9E3F67"/>
    <w:rsid w:val="3FED2DE9"/>
    <w:rsid w:val="4005693F"/>
    <w:rsid w:val="404E6F69"/>
    <w:rsid w:val="42200851"/>
    <w:rsid w:val="42D40A6B"/>
    <w:rsid w:val="42F337CA"/>
    <w:rsid w:val="431D6451"/>
    <w:rsid w:val="43EF76B5"/>
    <w:rsid w:val="44F334AA"/>
    <w:rsid w:val="4559179F"/>
    <w:rsid w:val="45AD06BC"/>
    <w:rsid w:val="46417B08"/>
    <w:rsid w:val="4697387F"/>
    <w:rsid w:val="471F4F87"/>
    <w:rsid w:val="4A1F33EC"/>
    <w:rsid w:val="4ADD2BDD"/>
    <w:rsid w:val="4D27445F"/>
    <w:rsid w:val="4E250E6A"/>
    <w:rsid w:val="4E8B16F6"/>
    <w:rsid w:val="4F3664A6"/>
    <w:rsid w:val="50D72550"/>
    <w:rsid w:val="50DB69F4"/>
    <w:rsid w:val="51C57E53"/>
    <w:rsid w:val="523337D1"/>
    <w:rsid w:val="538016EB"/>
    <w:rsid w:val="556751A6"/>
    <w:rsid w:val="557C14D6"/>
    <w:rsid w:val="55DC0625"/>
    <w:rsid w:val="57185276"/>
    <w:rsid w:val="57C119E9"/>
    <w:rsid w:val="58CD44BC"/>
    <w:rsid w:val="5B533196"/>
    <w:rsid w:val="5C166EAE"/>
    <w:rsid w:val="5E780762"/>
    <w:rsid w:val="5EE66109"/>
    <w:rsid w:val="601F04CC"/>
    <w:rsid w:val="6041164E"/>
    <w:rsid w:val="61F948E0"/>
    <w:rsid w:val="620F31C9"/>
    <w:rsid w:val="624C071E"/>
    <w:rsid w:val="627C70B1"/>
    <w:rsid w:val="62DE22E8"/>
    <w:rsid w:val="630E59F0"/>
    <w:rsid w:val="63CC13F2"/>
    <w:rsid w:val="63FA49EF"/>
    <w:rsid w:val="63FE18F1"/>
    <w:rsid w:val="676F0CA3"/>
    <w:rsid w:val="67B36E05"/>
    <w:rsid w:val="67D02D8B"/>
    <w:rsid w:val="68456E65"/>
    <w:rsid w:val="68B45950"/>
    <w:rsid w:val="68E2776B"/>
    <w:rsid w:val="69585CC2"/>
    <w:rsid w:val="6A2859A6"/>
    <w:rsid w:val="6A3226F5"/>
    <w:rsid w:val="6D276522"/>
    <w:rsid w:val="6E476802"/>
    <w:rsid w:val="6EEE7735"/>
    <w:rsid w:val="6FAA1865"/>
    <w:rsid w:val="704603DB"/>
    <w:rsid w:val="70D54AC1"/>
    <w:rsid w:val="71484D62"/>
    <w:rsid w:val="71CF3550"/>
    <w:rsid w:val="72781384"/>
    <w:rsid w:val="72FF19ED"/>
    <w:rsid w:val="74123E80"/>
    <w:rsid w:val="7480036B"/>
    <w:rsid w:val="74C2686B"/>
    <w:rsid w:val="74CA5EEE"/>
    <w:rsid w:val="76B263A8"/>
    <w:rsid w:val="778320D4"/>
    <w:rsid w:val="77AE2B8D"/>
    <w:rsid w:val="78BB680A"/>
    <w:rsid w:val="7BD72EFD"/>
    <w:rsid w:val="7D304B99"/>
    <w:rsid w:val="7E2A083E"/>
    <w:rsid w:val="7EE86848"/>
    <w:rsid w:val="7F103C9D"/>
    <w:rsid w:val="7FB1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44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43"/>
    <w:qFormat/>
    <w:uiPriority w:val="99"/>
    <w:pPr>
      <w:adjustRightInd w:val="0"/>
      <w:spacing w:beforeLines="100" w:afterLines="50"/>
      <w:ind w:left="993" w:hanging="993"/>
      <w:outlineLvl w:val="2"/>
    </w:pPr>
    <w:rPr>
      <w:rFonts w:ascii="Arial" w:hAnsi="Arial" w:eastAsia="黑体" w:cs="Arial"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toc 3"/>
    <w:basedOn w:val="1"/>
    <w:next w:val="1"/>
    <w:qFormat/>
    <w:uiPriority w:val="39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6">
    <w:name w:val="footer"/>
    <w:basedOn w:val="1"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9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4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其他标准标志"/>
    <w:basedOn w:val="16"/>
    <w:qFormat/>
    <w:uiPriority w:val="0"/>
    <w:pPr>
      <w:framePr w:w="6101" w:vAnchor="page" w:hAnchor="page" w:x="4673" w:y="942"/>
    </w:pPr>
    <w:rPr>
      <w:w w:val="130"/>
    </w:rPr>
  </w:style>
  <w:style w:type="paragraph" w:customStyle="1" w:styleId="16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17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8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9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20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21">
    <w:name w:val="封面标准英文名称"/>
    <w:basedOn w:val="20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22">
    <w:name w:val="封面一致性程度标识"/>
    <w:basedOn w:val="21"/>
    <w:qFormat/>
    <w:uiPriority w:val="0"/>
    <w:pPr>
      <w:spacing w:before="440"/>
    </w:pPr>
    <w:rPr>
      <w:rFonts w:ascii="宋体" w:eastAsia="宋体"/>
    </w:rPr>
  </w:style>
  <w:style w:type="paragraph" w:customStyle="1" w:styleId="23">
    <w:name w:val="封面标准文稿类别"/>
    <w:basedOn w:val="22"/>
    <w:qFormat/>
    <w:uiPriority w:val="0"/>
    <w:pPr>
      <w:spacing w:after="160" w:line="240" w:lineRule="auto"/>
    </w:pPr>
    <w:rPr>
      <w:sz w:val="24"/>
    </w:rPr>
  </w:style>
  <w:style w:type="paragraph" w:customStyle="1" w:styleId="24">
    <w:name w:val="封面标准文稿编辑信息"/>
    <w:basedOn w:val="23"/>
    <w:qFormat/>
    <w:uiPriority w:val="0"/>
    <w:pPr>
      <w:spacing w:before="180" w:line="180" w:lineRule="exact"/>
    </w:pPr>
    <w:rPr>
      <w:sz w:val="21"/>
    </w:rPr>
  </w:style>
  <w:style w:type="paragraph" w:customStyle="1" w:styleId="25">
    <w:name w:val="其他发布日期"/>
    <w:basedOn w:val="26"/>
    <w:qFormat/>
    <w:uiPriority w:val="0"/>
    <w:pPr>
      <w:framePr w:vAnchor="page" w:hAnchor="text" w:x="1419"/>
    </w:pPr>
  </w:style>
  <w:style w:type="paragraph" w:customStyle="1" w:styleId="26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27">
    <w:name w:val="其他实施日期"/>
    <w:basedOn w:val="28"/>
    <w:qFormat/>
    <w:uiPriority w:val="0"/>
  </w:style>
  <w:style w:type="paragraph" w:customStyle="1" w:styleId="28">
    <w:name w:val="实施日期"/>
    <w:basedOn w:val="26"/>
    <w:qFormat/>
    <w:uiPriority w:val="0"/>
    <w:pPr>
      <w:framePr w:vAnchor="page" w:hAnchor="text"/>
      <w:jc w:val="right"/>
    </w:pPr>
  </w:style>
  <w:style w:type="paragraph" w:customStyle="1" w:styleId="29">
    <w:name w:val="其他发布部门"/>
    <w:basedOn w:val="30"/>
    <w:qFormat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30">
    <w:name w:val="发布部门"/>
    <w:next w:val="31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31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2">
    <w:name w:val="前言、引言标题"/>
    <w:next w:val="31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3">
    <w:name w:val="章标题"/>
    <w:next w:val="3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4">
    <w:name w:val="一级条标题"/>
    <w:next w:val="31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5">
    <w:name w:val="二级条标题"/>
    <w:basedOn w:val="34"/>
    <w:next w:val="3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36">
    <w:name w:val="三级条标题"/>
    <w:basedOn w:val="35"/>
    <w:next w:val="31"/>
    <w:qFormat/>
    <w:uiPriority w:val="0"/>
    <w:pPr>
      <w:numPr>
        <w:ilvl w:val="3"/>
      </w:numPr>
      <w:outlineLvl w:val="4"/>
    </w:pPr>
  </w:style>
  <w:style w:type="paragraph" w:customStyle="1" w:styleId="37">
    <w:name w:val="参考文献"/>
    <w:basedOn w:val="1"/>
    <w:next w:val="31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38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39">
    <w:name w:val="标准书眉_偶数页"/>
    <w:basedOn w:val="40"/>
    <w:next w:val="1"/>
    <w:qFormat/>
    <w:uiPriority w:val="0"/>
    <w:pPr>
      <w:tabs>
        <w:tab w:val="center" w:pos="4154"/>
        <w:tab w:val="right" w:pos="8306"/>
      </w:tabs>
      <w:jc w:val="left"/>
    </w:pPr>
  </w:style>
  <w:style w:type="paragraph" w:customStyle="1" w:styleId="40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1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2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character" w:customStyle="1" w:styleId="43">
    <w:name w:val="标题 3 字符"/>
    <w:basedOn w:val="12"/>
    <w:link w:val="3"/>
    <w:qFormat/>
    <w:uiPriority w:val="99"/>
    <w:rPr>
      <w:rFonts w:ascii="Arial" w:hAnsi="Arial" w:eastAsia="黑体" w:cs="Arial"/>
      <w:kern w:val="2"/>
      <w:sz w:val="28"/>
      <w:szCs w:val="28"/>
    </w:rPr>
  </w:style>
  <w:style w:type="character" w:customStyle="1" w:styleId="44">
    <w:name w:val="标题 2 字符"/>
    <w:basedOn w:val="12"/>
    <w:link w:val="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5.jpeg"/><Relationship Id="rId27" Type="http://schemas.openxmlformats.org/officeDocument/2006/relationships/image" Target="media/image14.jpeg"/><Relationship Id="rId26" Type="http://schemas.openxmlformats.org/officeDocument/2006/relationships/image" Target="media/image13.jpeg"/><Relationship Id="rId25" Type="http://schemas.openxmlformats.org/officeDocument/2006/relationships/image" Target="media/image12.jpeg"/><Relationship Id="rId24" Type="http://schemas.openxmlformats.org/officeDocument/2006/relationships/image" Target="media/image11.jpeg"/><Relationship Id="rId23" Type="http://schemas.openxmlformats.org/officeDocument/2006/relationships/image" Target="media/image10.jpeg"/><Relationship Id="rId22" Type="http://schemas.openxmlformats.org/officeDocument/2006/relationships/image" Target="media/image9.jpeg"/><Relationship Id="rId21" Type="http://schemas.openxmlformats.org/officeDocument/2006/relationships/image" Target="media/image8.jpeg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media/image6.jpeg"/><Relationship Id="rId18" Type="http://schemas.openxmlformats.org/officeDocument/2006/relationships/image" Target="media/image5.jpeg"/><Relationship Id="rId17" Type="http://schemas.openxmlformats.org/officeDocument/2006/relationships/image" Target="media/image4.jpeg"/><Relationship Id="rId16" Type="http://schemas.openxmlformats.org/officeDocument/2006/relationships/image" Target="media/image3.jpeg"/><Relationship Id="rId15" Type="http://schemas.openxmlformats.org/officeDocument/2006/relationships/image" Target="media/image2.jpeg"/><Relationship Id="rId14" Type="http://schemas.openxmlformats.org/officeDocument/2006/relationships/image" Target="media/image1.jpeg"/><Relationship Id="rId13" Type="http://schemas.openxmlformats.org/officeDocument/2006/relationships/theme" Target="theme/theme1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752</Words>
  <Characters>4291</Characters>
  <Lines>35</Lines>
  <Paragraphs>10</Paragraphs>
  <TotalTime>0</TotalTime>
  <ScaleCrop>false</ScaleCrop>
  <LinksUpToDate>false</LinksUpToDate>
  <CharactersWithSpaces>5033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2021-04-14T00:21:00Z</dcterms:created>
  <dc:creator>XPS15</dc:creator>
  <cp:lastModifiedBy>真由理</cp:lastModifiedBy>
  <dcterms:modified xsi:type="dcterms:W3CDTF">2021-08-23T02:35:25Z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981552DE29AA448093EADC929889DBC0</vt:lpwstr>
  </property>
</Properties>
</file>